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4835D2">
      <w:pPr>
        <w:snapToGrid w:val="0"/>
        <w:jc w:val="center"/>
        <w:rPr>
          <w:rFonts w:hint="default" w:ascii="Times New Roman" w:hAnsi="Times New Roman" w:eastAsia="黑体" w:cs="Times New Roman"/>
          <w:color w:val="auto"/>
          <w:lang w:eastAsia="zh-CN"/>
        </w:rPr>
      </w:pPr>
    </w:p>
    <w:p w14:paraId="3C2BAAB9">
      <w:pPr>
        <w:snapToGrid w:val="0"/>
        <w:jc w:val="center"/>
        <w:rPr>
          <w:rFonts w:hint="default" w:ascii="Times New Roman" w:hAnsi="Times New Roman" w:eastAsia="黑体" w:cs="Times New Roman"/>
          <w:color w:val="auto"/>
          <w:lang w:eastAsia="zh-CN"/>
        </w:rPr>
      </w:pPr>
    </w:p>
    <w:p w14:paraId="794BBD33">
      <w:pPr>
        <w:snapToGrid w:val="0"/>
        <w:spacing w:before="120" w:beforeLines="50" w:after="120" w:line="360" w:lineRule="auto"/>
        <w:ind w:firstLine="0" w:firstLineChars="0"/>
        <w:rPr>
          <w:rFonts w:hint="eastAsia" w:eastAsia="黑体"/>
          <w:color w:val="000000" w:themeColor="text1"/>
          <w:sz w:val="36"/>
          <w:szCs w:val="36"/>
          <w14:textFill>
            <w14:solidFill>
              <w14:schemeClr w14:val="tx1"/>
            </w14:solidFill>
          </w14:textFill>
        </w:rPr>
      </w:pPr>
      <w:r>
        <w:rPr>
          <w:rFonts w:hint="eastAsia" w:eastAsia="黑体"/>
          <w:color w:val="000000" w:themeColor="text1"/>
          <w:sz w:val="36"/>
          <w:szCs w:val="36"/>
          <w14:textFill>
            <w14:solidFill>
              <w14:schemeClr w14:val="tx1"/>
            </w14:solidFill>
          </w14:textFill>
        </w:rPr>
        <w:t>学习资料  注意保存</w:t>
      </w:r>
    </w:p>
    <w:p w14:paraId="7B01A2E9">
      <w:pPr>
        <w:snapToGrid w:val="0"/>
        <w:spacing w:line="240" w:lineRule="auto"/>
        <w:ind w:firstLine="480"/>
        <w:jc w:val="center"/>
        <w:rPr>
          <w:rFonts w:hint="eastAsia" w:ascii="宋体" w:hAnsi="宋体" w:eastAsia="宋体" w:cs="宋体"/>
          <w:color w:val="000000" w:themeColor="text1"/>
          <w:szCs w:val="21"/>
          <w14:textFill>
            <w14:solidFill>
              <w14:schemeClr w14:val="tx1"/>
            </w14:solidFill>
          </w14:textFill>
        </w:rPr>
      </w:pPr>
    </w:p>
    <w:p w14:paraId="68149FD6">
      <w:pPr>
        <w:snapToGrid w:val="0"/>
        <w:spacing w:line="240" w:lineRule="auto"/>
        <w:ind w:firstLine="480"/>
        <w:jc w:val="center"/>
        <w:rPr>
          <w:rFonts w:hint="eastAsia" w:ascii="宋体" w:hAnsi="宋体" w:eastAsia="宋体" w:cs="宋体"/>
          <w:color w:val="000000" w:themeColor="text1"/>
          <w:szCs w:val="21"/>
          <w14:textFill>
            <w14:solidFill>
              <w14:schemeClr w14:val="tx1"/>
            </w14:solidFill>
          </w14:textFill>
        </w:rPr>
      </w:pPr>
    </w:p>
    <w:p w14:paraId="297B9CE7">
      <w:pPr>
        <w:snapToGrid w:val="0"/>
        <w:spacing w:line="240" w:lineRule="auto"/>
        <w:ind w:firstLine="480"/>
        <w:rPr>
          <w:rFonts w:hint="eastAsia" w:ascii="宋体" w:hAnsi="宋体" w:eastAsia="宋体" w:cs="宋体"/>
          <w:color w:val="000000" w:themeColor="text1"/>
          <w:szCs w:val="21"/>
          <w14:textFill>
            <w14:solidFill>
              <w14:schemeClr w14:val="tx1"/>
            </w14:solidFill>
          </w14:textFill>
        </w:rPr>
      </w:pPr>
    </w:p>
    <w:p w14:paraId="179F5321">
      <w:pPr>
        <w:spacing w:line="240" w:lineRule="auto"/>
        <w:ind w:firstLine="0" w:firstLineChars="0"/>
        <w:jc w:val="distribute"/>
        <w:rPr>
          <w:rFonts w:hint="eastAsia" w:ascii="方正大标宋简体" w:eastAsia="方正大标宋简体"/>
          <w:color w:val="000000" w:themeColor="text1"/>
          <w:sz w:val="140"/>
          <w:szCs w:val="140"/>
          <w14:textFill>
            <w14:solidFill>
              <w14:schemeClr w14:val="tx1"/>
            </w14:solidFill>
          </w14:textFill>
        </w:rPr>
      </w:pPr>
      <w:bookmarkStart w:id="0" w:name="_Hlk138107116"/>
      <w:r>
        <w:rPr>
          <w:rFonts w:hint="eastAsia" w:ascii="方正大标宋简体" w:eastAsia="方正大标宋简体"/>
          <w:color w:val="000000" w:themeColor="text1"/>
          <w:sz w:val="140"/>
          <w:szCs w:val="140"/>
          <w14:textFill>
            <w14:solidFill>
              <w14:schemeClr w14:val="tx1"/>
            </w14:solidFill>
          </w14:textFill>
        </w:rPr>
        <w:t>学习资料</w:t>
      </w:r>
    </w:p>
    <w:bookmarkEnd w:id="0"/>
    <w:p w14:paraId="0C03F5A5">
      <w:pPr>
        <w:adjustRightInd w:val="0"/>
        <w:snapToGrid w:val="0"/>
        <w:spacing w:before="120" w:beforeLines="50" w:after="120" w:afterLines="50"/>
        <w:ind w:firstLine="0" w:firstLineChars="0"/>
        <w:jc w:val="center"/>
        <w:rPr>
          <w:rFonts w:hint="eastAsia" w:ascii="方正黑体简体" w:eastAsia="方正黑体简体"/>
          <w:color w:val="000000" w:themeColor="text1"/>
          <w:sz w:val="36"/>
          <w:szCs w:val="36"/>
          <w14:textFill>
            <w14:solidFill>
              <w14:schemeClr w14:val="tx1"/>
            </w14:solidFill>
          </w14:textFill>
        </w:rPr>
      </w:pPr>
      <w:r>
        <w:rPr>
          <w:rFonts w:hint="eastAsia" w:ascii="方正黑体简体" w:eastAsia="方正黑体简体"/>
          <w:color w:val="000000" w:themeColor="text1"/>
          <w:sz w:val="36"/>
          <w:szCs w:val="36"/>
          <w14:textFill>
            <w14:solidFill>
              <w14:schemeClr w14:val="tx1"/>
            </w14:solidFill>
          </w14:textFill>
        </w:rPr>
        <w:t>2026年秋季学期第</w:t>
      </w:r>
      <w:r>
        <w:rPr>
          <w:rFonts w:hint="eastAsia" w:ascii="方正黑体简体" w:eastAsia="方正黑体简体"/>
          <w:color w:val="000000" w:themeColor="text1"/>
          <w:sz w:val="36"/>
          <w:szCs w:val="36"/>
          <w:lang w:val="en-US" w:eastAsia="zh-CN"/>
          <w14:textFill>
            <w14:solidFill>
              <w14:schemeClr w14:val="tx1"/>
            </w14:solidFill>
          </w14:textFill>
        </w:rPr>
        <w:t>二</w:t>
      </w:r>
      <w:r>
        <w:rPr>
          <w:rFonts w:hint="eastAsia" w:ascii="方正黑体简体" w:eastAsia="方正黑体简体"/>
          <w:color w:val="000000" w:themeColor="text1"/>
          <w:sz w:val="36"/>
          <w:szCs w:val="36"/>
          <w14:textFill>
            <w14:solidFill>
              <w14:schemeClr w14:val="tx1"/>
            </w14:solidFill>
          </w14:textFill>
        </w:rPr>
        <w:t>期</w:t>
      </w:r>
    </w:p>
    <w:p w14:paraId="237EB3CF">
      <w:pPr>
        <w:adjustRightInd w:val="0"/>
        <w:snapToGrid w:val="0"/>
        <w:spacing w:before="120" w:beforeLines="50" w:after="120" w:afterLines="50"/>
        <w:ind w:firstLine="0" w:firstLineChars="0"/>
        <w:jc w:val="center"/>
        <w:rPr>
          <w:rFonts w:hint="eastAsia" w:ascii="方正黑体简体" w:eastAsia="方正黑体简体"/>
          <w:color w:val="000000" w:themeColor="text1"/>
          <w:sz w:val="36"/>
          <w:szCs w:val="36"/>
          <w14:textFill>
            <w14:solidFill>
              <w14:schemeClr w14:val="tx1"/>
            </w14:solidFill>
          </w14:textFill>
        </w:rPr>
      </w:pPr>
    </w:p>
    <w:p w14:paraId="54BE8AB8">
      <w:pPr>
        <w:adjustRightInd w:val="0"/>
        <w:snapToGrid w:val="0"/>
        <w:spacing w:before="120" w:beforeLines="50" w:after="120" w:afterLines="50"/>
        <w:ind w:firstLine="0" w:firstLineChars="0"/>
        <w:jc w:val="center"/>
        <w:rPr>
          <w:rFonts w:hint="eastAsia" w:ascii="方正黑体简体" w:eastAsia="方正黑体简体"/>
          <w:color w:val="000000" w:themeColor="text1"/>
          <w:sz w:val="36"/>
          <w:szCs w:val="36"/>
          <w14:textFill>
            <w14:solidFill>
              <w14:schemeClr w14:val="tx1"/>
            </w14:solidFill>
          </w14:textFill>
        </w:rPr>
      </w:pPr>
      <w:r>
        <w:rPr>
          <w:rFonts w:hint="eastAsia" w:ascii="楷体" w:hAnsi="楷体" w:eastAsia="楷体"/>
          <w:b/>
          <w:bCs/>
          <w:color w:val="000000" w:themeColor="text1"/>
          <w:sz w:val="28"/>
          <w:szCs w:val="28"/>
          <w:lang w:val="en-US" w:eastAsia="zh-CN"/>
          <w14:textFill>
            <w14:solidFill>
              <w14:schemeClr w14:val="tx1"/>
            </w14:solidFill>
          </w14:textFill>
        </w:rPr>
        <w:drawing>
          <wp:anchor distT="0" distB="0" distL="114300" distR="114300" simplePos="0" relativeHeight="251659264" behindDoc="0" locked="0" layoutInCell="1" allowOverlap="1">
            <wp:simplePos x="0" y="0"/>
            <wp:positionH relativeFrom="column">
              <wp:posOffset>19050</wp:posOffset>
            </wp:positionH>
            <wp:positionV relativeFrom="paragraph">
              <wp:posOffset>154940</wp:posOffset>
            </wp:positionV>
            <wp:extent cx="5615940" cy="3086100"/>
            <wp:effectExtent l="0" t="0" r="3810" b="0"/>
            <wp:wrapNone/>
            <wp:docPr id="2" name="图片 2" desc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z"/>
                    <pic:cNvPicPr>
                      <a:picLocks noChangeAspect="1"/>
                    </pic:cNvPicPr>
                  </pic:nvPicPr>
                  <pic:blipFill>
                    <a:blip r:embed="rId9"/>
                    <a:srcRect t="22942" b="22105"/>
                    <a:stretch>
                      <a:fillRect/>
                    </a:stretch>
                  </pic:blipFill>
                  <pic:spPr>
                    <a:xfrm>
                      <a:off x="0" y="0"/>
                      <a:ext cx="5615940" cy="3086100"/>
                    </a:xfrm>
                    <a:prstGeom prst="rect">
                      <a:avLst/>
                    </a:prstGeom>
                  </pic:spPr>
                </pic:pic>
              </a:graphicData>
            </a:graphic>
          </wp:anchor>
        </w:drawing>
      </w:r>
    </w:p>
    <w:p w14:paraId="74893CCF">
      <w:pPr>
        <w:adjustRightInd w:val="0"/>
        <w:snapToGrid w:val="0"/>
        <w:spacing w:before="120" w:beforeLines="50" w:after="120" w:afterLines="50"/>
        <w:ind w:firstLine="0" w:firstLineChars="0"/>
        <w:jc w:val="center"/>
        <w:rPr>
          <w:rFonts w:hint="eastAsia" w:ascii="方正黑体简体" w:eastAsia="方正黑体简体"/>
          <w:color w:val="000000" w:themeColor="text1"/>
          <w:sz w:val="36"/>
          <w:szCs w:val="36"/>
          <w14:textFill>
            <w14:solidFill>
              <w14:schemeClr w14:val="tx1"/>
            </w14:solidFill>
          </w14:textFill>
        </w:rPr>
      </w:pPr>
    </w:p>
    <w:p w14:paraId="14DEABBC">
      <w:pPr>
        <w:adjustRightInd w:val="0"/>
        <w:snapToGrid w:val="0"/>
        <w:spacing w:before="120" w:beforeLines="50" w:after="120" w:afterLines="50"/>
        <w:ind w:firstLine="0" w:firstLineChars="0"/>
        <w:jc w:val="center"/>
        <w:rPr>
          <w:rFonts w:hint="eastAsia" w:ascii="方正黑体简体" w:eastAsia="方正黑体简体"/>
          <w:color w:val="000000" w:themeColor="text1"/>
          <w:sz w:val="36"/>
          <w:szCs w:val="36"/>
          <w14:textFill>
            <w14:solidFill>
              <w14:schemeClr w14:val="tx1"/>
            </w14:solidFill>
          </w14:textFill>
        </w:rPr>
      </w:pPr>
    </w:p>
    <w:p w14:paraId="23D24725">
      <w:pPr>
        <w:adjustRightInd w:val="0"/>
        <w:snapToGrid w:val="0"/>
        <w:spacing w:before="120" w:beforeLines="50" w:after="120" w:afterLines="50"/>
        <w:ind w:firstLine="0" w:firstLineChars="0"/>
        <w:jc w:val="center"/>
        <w:rPr>
          <w:rFonts w:hint="eastAsia" w:ascii="方正黑体简体" w:eastAsia="方正黑体简体"/>
          <w:color w:val="000000" w:themeColor="text1"/>
          <w:sz w:val="36"/>
          <w:szCs w:val="36"/>
          <w14:textFill>
            <w14:solidFill>
              <w14:schemeClr w14:val="tx1"/>
            </w14:solidFill>
          </w14:textFill>
        </w:rPr>
      </w:pPr>
    </w:p>
    <w:p w14:paraId="25F2547C">
      <w:pPr>
        <w:adjustRightInd w:val="0"/>
        <w:snapToGrid w:val="0"/>
        <w:spacing w:before="120" w:beforeLines="50" w:after="120" w:afterLines="50"/>
        <w:ind w:firstLine="0" w:firstLineChars="0"/>
        <w:jc w:val="center"/>
        <w:rPr>
          <w:rFonts w:hint="eastAsia" w:ascii="方正黑体简体" w:eastAsia="方正黑体简体"/>
          <w:color w:val="000000" w:themeColor="text1"/>
          <w:sz w:val="36"/>
          <w:szCs w:val="36"/>
          <w14:textFill>
            <w14:solidFill>
              <w14:schemeClr w14:val="tx1"/>
            </w14:solidFill>
          </w14:textFill>
        </w:rPr>
      </w:pPr>
    </w:p>
    <w:p w14:paraId="70E1C6C0">
      <w:pPr>
        <w:adjustRightInd w:val="0"/>
        <w:snapToGrid w:val="0"/>
        <w:spacing w:before="120" w:beforeLines="50" w:after="120" w:afterLines="50"/>
        <w:ind w:firstLine="0" w:firstLineChars="0"/>
        <w:jc w:val="center"/>
        <w:rPr>
          <w:rFonts w:hint="eastAsia" w:ascii="方正黑体简体" w:eastAsia="方正黑体简体"/>
          <w:color w:val="000000" w:themeColor="text1"/>
          <w:sz w:val="36"/>
          <w:szCs w:val="36"/>
          <w14:textFill>
            <w14:solidFill>
              <w14:schemeClr w14:val="tx1"/>
            </w14:solidFill>
          </w14:textFill>
        </w:rPr>
      </w:pPr>
    </w:p>
    <w:p w14:paraId="14CA62E1">
      <w:pPr>
        <w:adjustRightInd w:val="0"/>
        <w:snapToGrid w:val="0"/>
        <w:spacing w:before="120" w:beforeLines="50" w:after="120" w:afterLines="50"/>
        <w:ind w:firstLine="0" w:firstLineChars="0"/>
        <w:jc w:val="center"/>
        <w:rPr>
          <w:rFonts w:hint="eastAsia" w:ascii="方正黑体简体" w:eastAsia="方正黑体简体"/>
          <w:color w:val="000000" w:themeColor="text1"/>
          <w:sz w:val="36"/>
          <w:szCs w:val="36"/>
          <w14:textFill>
            <w14:solidFill>
              <w14:schemeClr w14:val="tx1"/>
            </w14:solidFill>
          </w14:textFill>
        </w:rPr>
      </w:pPr>
    </w:p>
    <w:p w14:paraId="61FAE590">
      <w:pPr>
        <w:adjustRightInd w:val="0"/>
        <w:snapToGrid w:val="0"/>
        <w:spacing w:before="120" w:beforeLines="50" w:after="120" w:afterLines="50"/>
        <w:ind w:firstLine="0" w:firstLineChars="0"/>
        <w:jc w:val="center"/>
        <w:rPr>
          <w:rFonts w:hint="eastAsia" w:ascii="方正黑体简体" w:eastAsia="方正黑体简体"/>
          <w:color w:val="000000" w:themeColor="text1"/>
          <w:sz w:val="36"/>
          <w:szCs w:val="36"/>
          <w14:textFill>
            <w14:solidFill>
              <w14:schemeClr w14:val="tx1"/>
            </w14:solidFill>
          </w14:textFill>
        </w:rPr>
      </w:pPr>
    </w:p>
    <w:p w14:paraId="736F77BE">
      <w:pPr>
        <w:adjustRightInd w:val="0"/>
        <w:snapToGrid w:val="0"/>
        <w:spacing w:before="120" w:beforeLines="50" w:after="120" w:afterLines="50"/>
        <w:ind w:firstLine="0" w:firstLineChars="0"/>
        <w:jc w:val="center"/>
        <w:rPr>
          <w:rFonts w:hint="eastAsia" w:ascii="方正黑体简体" w:eastAsia="方正黑体简体"/>
          <w:color w:val="000000" w:themeColor="text1"/>
          <w:sz w:val="36"/>
          <w:szCs w:val="36"/>
          <w14:textFill>
            <w14:solidFill>
              <w14:schemeClr w14:val="tx1"/>
            </w14:solidFill>
          </w14:textFill>
        </w:rPr>
      </w:pPr>
      <w:r>
        <w:rPr>
          <w:rFonts w:hint="eastAsia" w:ascii="方正黑体简体" w:eastAsia="方正黑体简体"/>
          <w:color w:val="000000" w:themeColor="text1"/>
          <w:sz w:val="36"/>
          <w:szCs w:val="36"/>
          <w14:textFill>
            <w14:solidFill>
              <w14:schemeClr w14:val="tx1"/>
            </w14:solidFill>
          </w14:textFill>
        </w:rPr>
        <w:t>党委宣传部</w:t>
      </w:r>
    </w:p>
    <w:p w14:paraId="4C4F428D">
      <w:pPr>
        <w:adjustRightInd w:val="0"/>
        <w:snapToGrid w:val="0"/>
        <w:spacing w:before="120" w:beforeLines="50" w:after="240" w:afterLines="100"/>
        <w:ind w:firstLine="0" w:firstLineChars="0"/>
        <w:jc w:val="center"/>
        <w:rPr>
          <w:rFonts w:hint="eastAsia" w:ascii="黑体" w:hAnsi="黑体" w:eastAsia="黑体" w:cs="黑体"/>
          <w:color w:val="auto"/>
          <w:sz w:val="44"/>
          <w:szCs w:val="44"/>
          <w:lang w:val="en-US" w:eastAsia="zh-CN"/>
        </w:rPr>
      </w:pPr>
      <w:r>
        <w:rPr>
          <w:rFonts w:hint="eastAsia" w:ascii="方正黑体简体" w:eastAsia="方正黑体简体"/>
          <w:color w:val="000000" w:themeColor="text1"/>
          <w:sz w:val="36"/>
          <w:szCs w:val="36"/>
          <w14:textFill>
            <w14:solidFill>
              <w14:schemeClr w14:val="tx1"/>
            </w14:solidFill>
          </w14:textFill>
        </w:rPr>
        <w:t>2026年</w:t>
      </w:r>
      <w:r>
        <w:rPr>
          <w:rFonts w:hint="eastAsia" w:ascii="Cambria" w:hAnsi="Cambria" w:eastAsia="方正黑体简体"/>
          <w:color w:val="000000" w:themeColor="text1"/>
          <w:sz w:val="36"/>
          <w:szCs w:val="36"/>
          <w14:textFill>
            <w14:solidFill>
              <w14:schemeClr w14:val="tx1"/>
            </w14:solidFill>
          </w14:textFill>
        </w:rPr>
        <w:t>9</w:t>
      </w:r>
      <w:r>
        <w:rPr>
          <w:rFonts w:hint="eastAsia" w:ascii="方正黑体简体" w:eastAsia="方正黑体简体"/>
          <w:color w:val="000000" w:themeColor="text1"/>
          <w:sz w:val="36"/>
          <w:szCs w:val="36"/>
          <w14:textFill>
            <w14:solidFill>
              <w14:schemeClr w14:val="tx1"/>
            </w14:solidFill>
          </w14:textFill>
        </w:rPr>
        <w:t>月</w:t>
      </w:r>
      <w:r>
        <w:rPr>
          <w:rFonts w:hint="eastAsia" w:ascii="方正黑体简体" w:eastAsia="方正黑体简体"/>
          <w:color w:val="000000" w:themeColor="text1"/>
          <w:sz w:val="36"/>
          <w:szCs w:val="36"/>
          <w:lang w:val="en-US" w:eastAsia="zh-CN"/>
          <w14:textFill>
            <w14:solidFill>
              <w14:schemeClr w14:val="tx1"/>
            </w14:solidFill>
          </w14:textFill>
        </w:rPr>
        <w:t>22日</w:t>
      </w:r>
    </w:p>
    <w:p w14:paraId="6207271A">
      <w:pPr>
        <w:bidi w:val="0"/>
        <w:jc w:val="center"/>
        <w:rPr>
          <w:rFonts w:hint="eastAsia" w:ascii="黑体" w:hAnsi="黑体" w:eastAsia="黑体" w:cs="黑体"/>
          <w:color w:val="auto"/>
          <w:sz w:val="44"/>
          <w:szCs w:val="44"/>
          <w:lang w:val="en-US" w:eastAsia="zh-CN"/>
        </w:r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p>
    <w:sdt>
      <w:sdtPr>
        <w:rPr>
          <w:rFonts w:ascii="宋体" w:hAnsi="宋体" w:eastAsia="宋体" w:cstheme="minorBidi"/>
          <w:kern w:val="2"/>
          <w:sz w:val="56"/>
          <w:szCs w:val="72"/>
          <w:lang w:val="en-US" w:eastAsia="zh-CN" w:bidi="ar-SA"/>
        </w:rPr>
        <w:id w:val="147454078"/>
        <w15:color w:val="DBDBDB"/>
        <w:docPartObj>
          <w:docPartGallery w:val="Table of Contents"/>
          <w:docPartUnique/>
        </w:docPartObj>
      </w:sdtPr>
      <w:sdtContent>
        <w:p w14:paraId="3979F5F6">
          <w:pPr>
            <w:spacing w:before="0" w:beforeLines="0" w:after="0" w:afterLines="0" w:line="240" w:lineRule="auto"/>
            <w:ind w:left="0" w:leftChars="0" w:right="0" w:rightChars="0" w:firstLine="0" w:firstLineChars="0"/>
            <w:jc w:val="center"/>
            <w:rPr>
              <w:sz w:val="56"/>
              <w:szCs w:val="72"/>
            </w:rPr>
          </w:pPr>
          <w:r>
            <w:rPr>
              <w:rFonts w:ascii="宋体" w:hAnsi="宋体" w:eastAsia="宋体"/>
              <w:sz w:val="56"/>
              <w:szCs w:val="72"/>
            </w:rPr>
            <w:t>目录</w:t>
          </w:r>
          <w:bookmarkStart w:id="15" w:name="_GoBack"/>
          <w:bookmarkEnd w:id="15"/>
        </w:p>
        <w:p w14:paraId="203C2D21">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微软雅黑" w:hAnsi="微软雅黑" w:eastAsia="微软雅黑" w:cs="微软雅黑"/>
              <w:b/>
              <w:bCs/>
              <w:i w:val="0"/>
              <w:iCs w:val="0"/>
              <w:caps w:val="0"/>
              <w:color w:val="262626"/>
              <w:spacing w:val="0"/>
              <w:sz w:val="48"/>
              <w:szCs w:val="48"/>
              <w:shd w:val="clear" w:fill="FFFFFF"/>
              <w:lang w:val="en-US"/>
            </w:rPr>
          </w:pPr>
          <w:r>
            <w:rPr>
              <w:rFonts w:hint="eastAsia" w:ascii="黑体" w:hAnsi="黑体" w:eastAsia="黑体" w:cs="黑体"/>
              <w:b w:val="0"/>
              <w:bCs w:val="0"/>
              <w:i w:val="0"/>
              <w:iCs w:val="0"/>
              <w:caps w:val="0"/>
              <w:color w:val="auto"/>
              <w:spacing w:val="0"/>
              <w:sz w:val="32"/>
              <w:szCs w:val="32"/>
              <w:shd w:val="clear" w:fill="FFFFFF"/>
              <w:lang w:val="en-US" w:eastAsia="zh-CN"/>
            </w:rPr>
            <w:t>一、习近平总书记近期重要讲话精神</w:t>
          </w:r>
        </w:p>
        <w:p w14:paraId="27F59A9A">
          <w:pPr>
            <w:pStyle w:val="5"/>
            <w:keepNext w:val="0"/>
            <w:keepLines w:val="0"/>
            <w:pageBreakBefore w:val="0"/>
            <w:tabs>
              <w:tab w:val="right" w:leader="dot" w:pos="8306"/>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"1-1" \h \u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_Toc6006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val="en-US" w:eastAsia="zh-CN"/>
            </w:rPr>
            <w:t>中共中央政治局召开会议 讨论拟提请二十届五中全会审议的文件</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_Toc21434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val="en-US" w:eastAsia="zh-CN"/>
            </w:rPr>
            <w:t>中共中央总书记习近平主持会议</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_Toc21434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00858FB7">
          <w:pPr>
            <w:pStyle w:val="5"/>
            <w:keepNext w:val="0"/>
            <w:keepLines w:val="0"/>
            <w:pageBreakBefore w:val="0"/>
            <w:tabs>
              <w:tab w:val="right" w:leader="dot" w:pos="8306"/>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_Toc30390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val="en-US" w:eastAsia="zh-CN"/>
            </w:rPr>
            <w:t>习近平就发展先进制造业作出重要指示强调持续做大做强先进制造业</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_Toc11218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val="en-US" w:eastAsia="zh-CN"/>
            </w:rPr>
            <w:t>为推进中国式现代化提供有力支撑</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_Toc11218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3</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46E6D795">
          <w:pPr>
            <w:pStyle w:val="5"/>
            <w:keepNext w:val="0"/>
            <w:keepLines w:val="0"/>
            <w:pageBreakBefore w:val="0"/>
            <w:tabs>
              <w:tab w:val="right" w:leader="dot" w:pos="8306"/>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_Toc510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val="en-US" w:eastAsia="zh-CN"/>
            </w:rPr>
            <w:t>习近平致吉林大学建校80周年的贺信</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_Toc510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6</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3BB4BEDD">
          <w:pPr>
            <w:pStyle w:val="5"/>
            <w:keepNext w:val="0"/>
            <w:keepLines w:val="0"/>
            <w:pageBreakBefore w:val="0"/>
            <w:tabs>
              <w:tab w:val="right" w:leader="dot" w:pos="8306"/>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_Toc28653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val="en-US" w:eastAsia="zh-CN"/>
            </w:rPr>
            <w:t>在加强基础研究座谈会上的讲话</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_Toc28653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7</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66B381DD">
          <w:pPr>
            <w:pStyle w:val="5"/>
            <w:keepNext w:val="0"/>
            <w:keepLines w:val="0"/>
            <w:pageBreakBefore w:val="0"/>
            <w:tabs>
              <w:tab w:val="right" w:leader="dot" w:pos="8306"/>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5.</w:t>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_Toc8699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val="en-US" w:eastAsia="zh-CN"/>
            </w:rPr>
            <w:t>在第四十二个教师节到来之际</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_Toc28847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val="en-US" w:eastAsia="zh-CN"/>
            </w:rPr>
            <w:t>习近平向全国广大教师</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val="en-US" w:eastAsia="zh-CN"/>
            </w:rPr>
            <w:t>和教育工作者致以节日祝贺和诚挚问候</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_Toc28847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12</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789B9B35">
          <w:pPr>
            <w:pStyle w:val="5"/>
            <w:keepNext w:val="0"/>
            <w:keepLines w:val="0"/>
            <w:pageBreakBefore w:val="0"/>
            <w:tabs>
              <w:tab w:val="right" w:leader="dot" w:pos="8306"/>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6.</w:t>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_Toc3241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val="en-US" w:eastAsia="zh-CN"/>
            </w:rPr>
            <w:t>习近平总书记指引民族团结进步事业高质量发展</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_Toc3241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13</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41736A2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b w:val="0"/>
              <w:bCs w:val="0"/>
              <w:i w:val="0"/>
              <w:iCs w:val="0"/>
              <w:caps w:val="0"/>
              <w:color w:val="auto"/>
              <w:spacing w:val="0"/>
              <w:sz w:val="32"/>
              <w:szCs w:val="32"/>
              <w:shd w:val="clear" w:fill="FFFFFF"/>
              <w:lang w:val="en-US" w:eastAsia="zh-CN"/>
            </w:rPr>
          </w:pPr>
          <w:r>
            <w:rPr>
              <w:rFonts w:hint="eastAsia" w:ascii="黑体" w:hAnsi="黑体" w:eastAsia="黑体" w:cs="黑体"/>
              <w:b w:val="0"/>
              <w:bCs w:val="0"/>
              <w:i w:val="0"/>
              <w:iCs w:val="0"/>
              <w:caps w:val="0"/>
              <w:color w:val="auto"/>
              <w:spacing w:val="0"/>
              <w:sz w:val="32"/>
              <w:szCs w:val="32"/>
              <w:shd w:val="clear" w:fill="FFFFFF"/>
              <w:lang w:val="en-US" w:eastAsia="zh-CN"/>
            </w:rPr>
            <w:t>二、全民国防教育月专题学习</w:t>
          </w:r>
        </w:p>
        <w:p w14:paraId="532F6F0D">
          <w:pPr>
            <w:pStyle w:val="5"/>
            <w:keepNext w:val="0"/>
            <w:keepLines w:val="0"/>
            <w:pageBreakBefore w:val="0"/>
            <w:tabs>
              <w:tab w:val="right" w:leader="dot" w:pos="8306"/>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7.</w:t>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_Toc15465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val="en-US" w:eastAsia="zh-CN"/>
            </w:rPr>
            <w:t>“十一个明确”：习近平强军思想的主要内容</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_Toc15465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22</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5BB91613">
          <w:pPr>
            <w:pStyle w:val="5"/>
            <w:keepNext w:val="0"/>
            <w:keepLines w:val="0"/>
            <w:pageBreakBefore w:val="0"/>
            <w:tabs>
              <w:tab w:val="right" w:leader="dot" w:pos="8306"/>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8.</w:t>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_Toc3664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val="en-US" w:eastAsia="zh-CN"/>
            </w:rPr>
            <w:t>中共中央宣传部等印发《关于组织开展2026年“全民国防教育月”活动的通知》</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_Toc3664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24</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013138D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b w:val="0"/>
              <w:bCs w:val="0"/>
              <w:i w:val="0"/>
              <w:iCs w:val="0"/>
              <w:caps w:val="0"/>
              <w:color w:val="auto"/>
              <w:spacing w:val="0"/>
              <w:sz w:val="32"/>
              <w:szCs w:val="32"/>
              <w:shd w:val="clear" w:fill="FFFFFF"/>
              <w:lang w:val="en-US" w:eastAsia="zh-CN"/>
            </w:rPr>
          </w:pPr>
          <w:r>
            <w:rPr>
              <w:rFonts w:hint="eastAsia" w:ascii="黑体" w:hAnsi="黑体" w:eastAsia="黑体" w:cs="黑体"/>
              <w:b w:val="0"/>
              <w:bCs w:val="0"/>
              <w:i w:val="0"/>
              <w:iCs w:val="0"/>
              <w:caps w:val="0"/>
              <w:color w:val="auto"/>
              <w:spacing w:val="0"/>
              <w:sz w:val="32"/>
              <w:szCs w:val="32"/>
              <w:shd w:val="clear" w:fill="FFFFFF"/>
              <w:lang w:val="en-US" w:eastAsia="zh-CN"/>
            </w:rPr>
            <w:t>三、全国校园网络文明月专题学习</w:t>
          </w:r>
        </w:p>
        <w:p w14:paraId="2B6F3021">
          <w:pPr>
            <w:pStyle w:val="5"/>
            <w:keepNext w:val="0"/>
            <w:keepLines w:val="0"/>
            <w:pageBreakBefore w:val="0"/>
            <w:tabs>
              <w:tab w:val="right" w:leader="dot" w:pos="8306"/>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9.</w:t>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_Toc28820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val="en-US" w:eastAsia="zh-CN"/>
            </w:rPr>
            <w:t>习近平总书记这样谈网络文明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_Toc28820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26</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114FEC24">
          <w:pPr>
            <w:pStyle w:val="5"/>
            <w:keepNext w:val="0"/>
            <w:keepLines w:val="0"/>
            <w:pageBreakBefore w:val="0"/>
            <w:tabs>
              <w:tab w:val="right" w:leader="dot" w:pos="8306"/>
            </w:tabs>
            <w:kinsoku/>
            <w:wordWrap/>
            <w:overflowPunct/>
            <w:topLinePunct w:val="0"/>
            <w:autoSpaceDE/>
            <w:autoSpaceDN/>
            <w:bidi w:val="0"/>
            <w:adjustRightInd/>
            <w:snapToGrid/>
            <w:spacing w:line="500" w:lineRule="exact"/>
            <w:textAlignment w:val="auto"/>
          </w:pPr>
          <w:r>
            <w:rPr>
              <w:rFonts w:hint="eastAsia" w:ascii="仿宋_GB2312" w:hAnsi="仿宋_GB2312" w:eastAsia="仿宋_GB2312" w:cs="仿宋_GB2312"/>
              <w:b w:val="0"/>
              <w:bCs w:val="0"/>
              <w:sz w:val="32"/>
              <w:szCs w:val="32"/>
              <w:lang w:val="en-US" w:eastAsia="zh-CN"/>
            </w:rPr>
            <w:t>10.</w:t>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_Toc3984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val="en-US" w:eastAsia="zh-CN"/>
            </w:rPr>
            <w:t>中国共产党党员网络行为规定</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_Toc3984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29</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sz w:val="32"/>
              <w:szCs w:val="32"/>
            </w:rPr>
            <w:fldChar w:fldCharType="end"/>
          </w:r>
        </w:p>
      </w:sdtContent>
    </w:sdt>
    <w:p w14:paraId="4EA67A8E">
      <w:pPr>
        <w:rPr>
          <w:rFonts w:hint="default" w:ascii="黑体" w:hAnsi="黑体" w:eastAsia="黑体" w:cs="黑体"/>
          <w:b w:val="0"/>
          <w:bCs w:val="0"/>
          <w:i w:val="0"/>
          <w:iCs w:val="0"/>
          <w:caps w:val="0"/>
          <w:color w:val="auto"/>
          <w:spacing w:val="0"/>
          <w:sz w:val="32"/>
          <w:szCs w:val="32"/>
          <w:shd w:val="clear" w:fill="FFFFFF"/>
          <w:lang w:val="en-US" w:eastAsia="zh-CN"/>
        </w:rPr>
      </w:pPr>
      <w:r>
        <w:rPr>
          <w:rFonts w:hint="eastAsia" w:ascii="黑体" w:hAnsi="黑体" w:eastAsia="黑体" w:cs="黑体"/>
          <w:b w:val="0"/>
          <w:bCs w:val="0"/>
          <w:i w:val="0"/>
          <w:iCs w:val="0"/>
          <w:caps w:val="0"/>
          <w:color w:val="auto"/>
          <w:spacing w:val="0"/>
          <w:sz w:val="32"/>
          <w:szCs w:val="32"/>
          <w:shd w:val="clear" w:fill="FFFFFF"/>
          <w:lang w:val="en-US" w:eastAsia="zh-CN"/>
        </w:rPr>
        <w:t>四、重要文件精神</w:t>
      </w:r>
    </w:p>
    <w:p w14:paraId="3027278A">
      <w:pPr>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11.《四川省就业促进“十五五”规划》</w:t>
      </w:r>
    </w:p>
    <w:p w14:paraId="4A91C7A9">
      <w:pPr>
        <w:jc w:val="left"/>
        <w:rPr>
          <w:rFonts w:hint="eastAsia" w:ascii="黑体" w:hAnsi="黑体" w:eastAsia="黑体" w:cs="黑体"/>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object>
          <v:shape id="_x0000_i1025" o:spt="75" type="#_x0000_t75" style="height:69.5pt;width:76.35pt;" o:ole="t" filled="f" o:preferrelative="t" stroked="f" coordsize="21600,21600">
            <v:path/>
            <v:fill on="f" focussize="0,0"/>
            <v:stroke on="f"/>
            <v:imagedata r:id="rId11" o:title=""/>
            <o:lock v:ext="edit" aspectratio="t"/>
            <w10:wrap type="none"/>
            <w10:anchorlock/>
          </v:shape>
          <o:OLEObject Type="Embed" ProgID="Package" ShapeID="_x0000_i1025" DrawAspect="Icon" ObjectID="_1468075725" r:id="rId10">
            <o:LockedField>false</o:LockedField>
          </o:OLEObject>
        </w:object>
      </w:r>
      <w:r>
        <w:rPr>
          <w:rFonts w:hint="eastAsia" w:ascii="楷体_GB2312" w:hAnsi="楷体_GB2312" w:eastAsia="楷体_GB2312" w:cs="楷体_GB2312"/>
          <w:b w:val="0"/>
          <w:bCs w:val="0"/>
          <w:i w:val="0"/>
          <w:iCs w:val="0"/>
          <w:caps w:val="0"/>
          <w:color w:val="auto"/>
          <w:spacing w:val="0"/>
          <w:sz w:val="24"/>
          <w:szCs w:val="24"/>
          <w:shd w:val="clear" w:fill="FFFFFF"/>
          <w:lang w:val="en-US" w:eastAsia="zh-CN"/>
        </w:rPr>
        <w:t>（双击下载）</w:t>
      </w:r>
    </w:p>
    <w:p w14:paraId="20ED031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kern w:val="2"/>
          <w:sz w:val="32"/>
          <w:szCs w:val="32"/>
          <w:lang w:val="en-US" w:eastAsia="zh-CN" w:bidi="ar-SA"/>
        </w:rPr>
        <w:sectPr>
          <w:footerReference r:id="rId5" w:type="default"/>
          <w:pgSz w:w="11906" w:h="16838"/>
          <w:pgMar w:top="1440" w:right="1800" w:bottom="1440" w:left="1800" w:header="851" w:footer="992" w:gutter="0"/>
          <w:pgNumType w:fmt="decimal" w:start="1"/>
          <w:cols w:space="425" w:num="1"/>
          <w:docGrid w:type="lines" w:linePitch="312" w:charSpace="0"/>
        </w:sectPr>
      </w:pPr>
    </w:p>
    <w:p w14:paraId="192CA9F5">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Times New Roman" w:hAnsi="Times New Roman" w:eastAsia="方正小标宋简体" w:cs="Times New Roman"/>
          <w:color w:val="auto"/>
          <w:sz w:val="44"/>
          <w:szCs w:val="44"/>
          <w:lang w:val="en-US" w:eastAsia="zh-CN"/>
        </w:rPr>
      </w:pPr>
      <w:bookmarkStart w:id="1" w:name="_Toc6006"/>
      <w:r>
        <w:rPr>
          <w:rFonts w:hint="eastAsia" w:ascii="Times New Roman" w:hAnsi="Times New Roman" w:eastAsia="方正小标宋简体" w:cs="Times New Roman"/>
          <w:color w:val="auto"/>
          <w:sz w:val="44"/>
          <w:szCs w:val="44"/>
          <w:lang w:val="en-US" w:eastAsia="zh-CN"/>
        </w:rPr>
        <w:t>中共中央政治局召开会议 讨论拟提请二十届五中全会审议的文件</w:t>
      </w:r>
      <w:bookmarkEnd w:id="1"/>
      <w:r>
        <w:rPr>
          <w:rFonts w:hint="eastAsia" w:ascii="Times New Roman" w:hAnsi="Times New Roman" w:eastAsia="方正小标宋简体" w:cs="Times New Roman"/>
          <w:color w:val="auto"/>
          <w:sz w:val="44"/>
          <w:szCs w:val="44"/>
          <w:lang w:val="en-US" w:eastAsia="zh-CN"/>
        </w:rPr>
        <w:t xml:space="preserve"> </w:t>
      </w:r>
    </w:p>
    <w:p w14:paraId="3F7740F8">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Times New Roman" w:hAnsi="Times New Roman" w:eastAsia="方正小标宋简体" w:cs="Times New Roman"/>
          <w:color w:val="auto"/>
          <w:sz w:val="44"/>
          <w:szCs w:val="44"/>
          <w:lang w:val="en-US" w:eastAsia="zh-CN"/>
        </w:rPr>
      </w:pPr>
      <w:bookmarkStart w:id="2" w:name="_Toc21434"/>
      <w:r>
        <w:rPr>
          <w:rFonts w:hint="eastAsia" w:ascii="Times New Roman" w:hAnsi="Times New Roman" w:eastAsia="方正小标宋简体" w:cs="Times New Roman"/>
          <w:color w:val="auto"/>
          <w:sz w:val="44"/>
          <w:szCs w:val="44"/>
          <w:lang w:val="en-US" w:eastAsia="zh-CN"/>
        </w:rPr>
        <w:t>中共中央总书记习近平主持会议</w:t>
      </w:r>
      <w:bookmarkEnd w:id="2"/>
    </w:p>
    <w:p w14:paraId="2BFB61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新华社北京9月21日电 中共中央政治局9月21日召开会议，研究持之以恒推进全面从严治党重大问题。中共中央总书记习近平主持会议。</w:t>
      </w:r>
    </w:p>
    <w:p w14:paraId="0AF5FB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会议决定，中国共产党第二十届中央委员会第五次全体会议于10月26日至29日在北京召开。</w:t>
      </w:r>
    </w:p>
    <w:p w14:paraId="28ACBD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中共中央政治局听取了《中共中央关于持之以恒推进全面从严治党若干重大问题的决定》稿在党内外一定范围征求意见的情况报告，决定根据这次会议讨论的意见进行修改后将文件稿提请二十届五中全会审议。</w:t>
      </w:r>
    </w:p>
    <w:p w14:paraId="59F292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会议指出，这次征求意见发扬民主、集思广益，各地区各部门各方面对决定稿给予充分肯定，认为决定稿实事求是总结新时代全面从严治党的成就和经验，深刻分析当前和今后一个时期党的建设面临的形势和任务，对持之以恒推进全面从严治党作出战略部署，体现了以习近平同志为核心的党中央强党强国的历史主动，对于推进新时代党的建设新的伟大工程，团结带领全国各族人民以中国式现代化全面推进强国建设、民族复兴伟业，具有重大现实意义和长远指导意义。</w:t>
      </w:r>
    </w:p>
    <w:p w14:paraId="46A847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会议强调，持之以恒推进全面从严治党必须坚持马克思列宁主义、毛泽东思想、邓小平理论、“三个代表”重要思想、科学发展观，全面贯彻习近平新时代中国特色社会主义思想，深入学习贯彻习近平党建思想，围绕实现党的使命任务，落实新时代党的建设总要求，以党章为根本，坚持党的先锋队性质，坚持党的全面领导和党中央集中统一领导，着眼于提高党的长期执政能力、保持党的先进性和纯洁性、保持党同人民群众的血肉联系，坚持严的基调不动摇，健全全面从严治党体系，以党的政治建设为统领，全面推进党的各方面建设，充分激发全党积极性主动性创造性，不断实现党的自我净化、自我完善、自我革新、自我提高，持续增强党的政治领导力、思想引领力、群众组织力、社会号召力，确保党始终成为走在时代前列、人民衷心拥护、经得起各种风浪考验、朝气蓬勃的马克思主义执政党，始终成为中国特色社会主义事业的坚强领导核心。</w:t>
      </w:r>
    </w:p>
    <w:p w14:paraId="20A51D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会议强调，全党必须从巩固党的执政地位、实现中华民族伟大复兴的战略高度，深刻认识持之以恒推进全面从严治党的重要性紧迫性，坚定信心，保持定力，以更高标准、更实举措把新时代全面从严治党宝贵经验坚持好、运用好，把党的建设面临的突出问题整治好、解决好，把管党治党形成的良好政治局面巩固好、发展好，不断开创新时代管党治党、兴党强党新局面。</w:t>
      </w:r>
    </w:p>
    <w:p w14:paraId="3DE984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会议还研究了其他事项。</w:t>
      </w:r>
    </w:p>
    <w:p w14:paraId="097186CD">
      <w:pPr>
        <w:jc w:val="right"/>
        <w:rPr>
          <w:rFonts w:hint="default" w:ascii="Times New Roman" w:hAnsi="Times New Roman" w:eastAsia="方正楷体_GB2312" w:cs="Times New Roman"/>
          <w:bCs/>
          <w:color w:val="auto"/>
          <w:sz w:val="32"/>
          <w:szCs w:val="32"/>
          <w:lang w:val="en-US" w:eastAsia="zh-CN"/>
        </w:rPr>
      </w:pPr>
      <w:r>
        <w:rPr>
          <w:rFonts w:hint="default" w:ascii="Times New Roman" w:hAnsi="Times New Roman" w:eastAsia="方正楷体_GB2312" w:cs="Times New Roman"/>
          <w:bCs/>
          <w:color w:val="auto"/>
          <w:sz w:val="32"/>
          <w:szCs w:val="32"/>
          <w:lang w:val="en-US" w:eastAsia="zh-CN"/>
        </w:rPr>
        <w:t>来源：“学习强国”学习平台</w:t>
      </w:r>
    </w:p>
    <w:p w14:paraId="39039374">
      <w:pPr>
        <w:widowControl w:val="0"/>
        <w:numPr>
          <w:ilvl w:val="0"/>
          <w:numId w:val="0"/>
        </w:numPr>
        <w:jc w:val="both"/>
        <w:rPr>
          <w:rFonts w:ascii="微软雅黑" w:hAnsi="微软雅黑" w:eastAsia="微软雅黑" w:cs="微软雅黑"/>
          <w:i w:val="0"/>
          <w:iCs w:val="0"/>
          <w:caps w:val="0"/>
          <w:color w:val="595959"/>
          <w:spacing w:val="0"/>
          <w:sz w:val="21"/>
          <w:szCs w:val="21"/>
          <w:shd w:val="clear" w:fill="FFFFFF"/>
        </w:rPr>
      </w:pPr>
    </w:p>
    <w:p w14:paraId="76F954E2">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1F06CF01">
      <w:pPr>
        <w:widowControl w:val="0"/>
        <w:numPr>
          <w:ilvl w:val="0"/>
          <w:numId w:val="0"/>
        </w:numPr>
        <w:jc w:val="both"/>
        <w:rPr>
          <w:rFonts w:hint="eastAsia" w:ascii="微软雅黑" w:hAnsi="微软雅黑" w:eastAsia="微软雅黑" w:cs="微软雅黑"/>
          <w:b/>
          <w:bCs/>
          <w:i w:val="0"/>
          <w:iCs w:val="0"/>
          <w:caps w:val="0"/>
          <w:color w:val="262626"/>
          <w:spacing w:val="0"/>
          <w:sz w:val="48"/>
          <w:szCs w:val="48"/>
          <w:shd w:val="clear" w:fill="FFFFFF"/>
        </w:rPr>
      </w:pPr>
    </w:p>
    <w:p w14:paraId="486E3C5E">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Times New Roman" w:hAnsi="Times New Roman" w:eastAsia="方正小标宋简体" w:cs="Times New Roman"/>
          <w:color w:val="auto"/>
          <w:sz w:val="44"/>
          <w:szCs w:val="44"/>
          <w:lang w:val="en-US" w:eastAsia="zh-CN"/>
        </w:rPr>
      </w:pPr>
      <w:bookmarkStart w:id="3" w:name="_Toc30390"/>
      <w:r>
        <w:rPr>
          <w:rFonts w:hint="eastAsia" w:ascii="Times New Roman" w:hAnsi="Times New Roman" w:eastAsia="方正小标宋简体" w:cs="Times New Roman"/>
          <w:color w:val="auto"/>
          <w:sz w:val="44"/>
          <w:szCs w:val="44"/>
          <w:lang w:val="en-US" w:eastAsia="zh-CN"/>
        </w:rPr>
        <w:t>习近平就发展先进制造业作出重要指示强调持续做大做强先进制造业</w:t>
      </w:r>
      <w:bookmarkEnd w:id="3"/>
    </w:p>
    <w:p w14:paraId="17D89575">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Times New Roman" w:hAnsi="Times New Roman" w:eastAsia="方正小标宋简体" w:cs="Times New Roman"/>
          <w:color w:val="auto"/>
          <w:sz w:val="44"/>
          <w:szCs w:val="44"/>
          <w:lang w:val="en-US" w:eastAsia="zh-CN"/>
        </w:rPr>
      </w:pPr>
      <w:bookmarkStart w:id="4" w:name="_Toc11218"/>
      <w:r>
        <w:rPr>
          <w:rFonts w:hint="eastAsia" w:ascii="Times New Roman" w:hAnsi="Times New Roman" w:eastAsia="方正小标宋简体" w:cs="Times New Roman"/>
          <w:color w:val="auto"/>
          <w:sz w:val="44"/>
          <w:szCs w:val="44"/>
          <w:lang w:val="en-US" w:eastAsia="zh-CN"/>
        </w:rPr>
        <w:t>为推进中国式现代化提供有力支撑</w:t>
      </w:r>
      <w:bookmarkEnd w:id="4"/>
    </w:p>
    <w:p w14:paraId="3622D7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新华社北京9月17日电 中共中央总书记、国家主席、中央军委主席习近平近日就发展先进制造业作出重要指示指出，党的十八大以来，我国先进制造业不断发展壮大，创新力、竞争力、综合实力显著增强，制造强国建设迈出坚实步伐。</w:t>
      </w:r>
    </w:p>
    <w:p w14:paraId="46F08A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习近平强调，新征程上，要以新时代中国特色社会主义思想为指导，完整准确全面贯彻新发展理念，统筹高质量发展和高水平安全，坚持智能化、绿色化、融合化方向，持续做大做强先进制造业，提升产业链自主可控水平，加快构建以先进制造业为骨干的现代化产业体系，巩固壮大实体经济根基，为推进中国式现代化提供有力支撑。</w:t>
      </w:r>
    </w:p>
    <w:p w14:paraId="2ABBE5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全国先进制造业大会9月16日至17日在京召开。会上传达了习近平重要指示。中共中央政治局常委、国务院总理李强出席会议并讲话。</w:t>
      </w:r>
    </w:p>
    <w:p w14:paraId="35D0CC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李强在讲话中指出，习近平总书记的重要指示深刻阐述了发展先进制造业的重大意义、方向路径和重点任务，具有很强的战略性、指导性、针对性，为做好相关工作提供了重要遵循。我们要认真学习领会，坚决贯彻落实，把发展先进制造业作为一项重要战略任务，持续用力、久久为功，坚定不移朝着建设制造强国目标迈进。</w:t>
      </w:r>
    </w:p>
    <w:p w14:paraId="286BEA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李强强调，要顺应新一轮科技革命和产业变革趋势，以新一代智能制造为主攻方向，发展策略上更加注重数智赋能，技术路线上更加注重高端自主，生产方式上更加注重绿色低碳，场景业态上更加注重跨界融合，着力推动制造业智能化、绿色化、融合化发展。</w:t>
      </w:r>
    </w:p>
    <w:p w14:paraId="17390B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李强指出，要聚焦重点领域综合施策、精准发力，不断提升先进制造业的创新力、竞争力、综合实力。打造产业创新驱动引擎，筑牢基础研究支撑，强化关键核心技术攻关，深化科技成果转化应用。加快新兴产业规模应用，加强未来产业前瞻布局，推动传统产业焕新升级。纵深开展“人工智能+制造”行动，加大对企业数智化转型引导支持力度，夯实智能软硬件基础。推动先进制造业和现代服务业深度融合，创新发展服务型制造。因地制宜培育壮大先进制造业集群，分类分层推动提质升级。持续深化改革开放，强化企业主体地位，加强政策和要素供给，营造良好发展环境，不断增强先进制造业发展的动力活力。</w:t>
      </w:r>
    </w:p>
    <w:p w14:paraId="3BEB4B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中共中央政治局委员、国务院副总理张国清在总结讲话中表示，要深入学习贯彻习近平总书记重要指示精神，落实李强总理讲话要求，切实增强发展先进制造业的紧迫感责任感使命感。要突出重点、抓住关键，深入实施重点产业链高质量发展行动，大力发展新一代智能制造，加快促进产业体系升级和融合发展，扎实推动各项任务落实。要着眼更好发挥市场机制作用，加快构建高质量标准体系，持续整治无序非理性竞争，积极帮助企业解决实际困难，着力营造先进制造业发展的良好生态。</w:t>
      </w:r>
    </w:p>
    <w:p w14:paraId="6DF73B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工业和信息化部、国家发展改革委、国务院国资委、江苏省、湖北省负责同志作交流发言。</w:t>
      </w:r>
    </w:p>
    <w:p w14:paraId="56EBA3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吴政隆出席会议。</w:t>
      </w:r>
    </w:p>
    <w:p w14:paraId="41A7A2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会议以电视电话会议形式召开。各省、自治区、直辖市和计划单列市、新疆生产建设兵团，中央和国家机关有关部门、有关人民团体，中央管理的部分金融机构、企业，中央军委机关有关部门，制造业领域有关企业负责同志等参加会议。</w:t>
      </w:r>
    </w:p>
    <w:p w14:paraId="0030D649">
      <w:pPr>
        <w:jc w:val="right"/>
        <w:rPr>
          <w:rFonts w:hint="eastAsia" w:ascii="Times New Roman" w:hAnsi="Times New Roman" w:eastAsia="方正楷体_GB2312" w:cs="Times New Roman"/>
          <w:bCs/>
          <w:color w:val="auto"/>
          <w:sz w:val="32"/>
          <w:szCs w:val="32"/>
          <w:lang w:val="en-US" w:eastAsia="zh-CN"/>
        </w:rPr>
      </w:pPr>
      <w:r>
        <w:rPr>
          <w:rFonts w:hint="default" w:ascii="Times New Roman" w:hAnsi="Times New Roman" w:eastAsia="方正楷体_GB2312" w:cs="Times New Roman"/>
          <w:bCs/>
          <w:color w:val="auto"/>
          <w:sz w:val="32"/>
          <w:szCs w:val="32"/>
          <w:lang w:val="en-US" w:eastAsia="zh-CN"/>
        </w:rPr>
        <w:t>来源：“学习强国”学习平台</w:t>
      </w:r>
    </w:p>
    <w:p w14:paraId="5E829889">
      <w:pPr>
        <w:widowControl w:val="0"/>
        <w:numPr>
          <w:ilvl w:val="0"/>
          <w:numId w:val="0"/>
        </w:numPr>
        <w:jc w:val="both"/>
        <w:rPr>
          <w:rFonts w:hint="eastAsia" w:ascii="微软雅黑" w:hAnsi="微软雅黑" w:eastAsia="微软雅黑" w:cs="微软雅黑"/>
          <w:b/>
          <w:bCs/>
          <w:i w:val="0"/>
          <w:iCs w:val="0"/>
          <w:caps w:val="0"/>
          <w:color w:val="262626"/>
          <w:spacing w:val="0"/>
          <w:sz w:val="48"/>
          <w:szCs w:val="48"/>
          <w:shd w:val="clear" w:fill="FFFFFF"/>
        </w:rPr>
      </w:pPr>
    </w:p>
    <w:p w14:paraId="7CF66E1F">
      <w:pPr>
        <w:widowControl w:val="0"/>
        <w:numPr>
          <w:ilvl w:val="0"/>
          <w:numId w:val="0"/>
        </w:numPr>
        <w:jc w:val="both"/>
        <w:rPr>
          <w:rFonts w:hint="eastAsia" w:ascii="微软雅黑" w:hAnsi="微软雅黑" w:eastAsia="微软雅黑" w:cs="微软雅黑"/>
          <w:b/>
          <w:bCs/>
          <w:i w:val="0"/>
          <w:iCs w:val="0"/>
          <w:caps w:val="0"/>
          <w:color w:val="262626"/>
          <w:spacing w:val="0"/>
          <w:sz w:val="48"/>
          <w:szCs w:val="48"/>
          <w:shd w:val="clear" w:fill="FFFFFF"/>
        </w:rPr>
      </w:pPr>
    </w:p>
    <w:p w14:paraId="0386CDEF">
      <w:pPr>
        <w:widowControl w:val="0"/>
        <w:numPr>
          <w:ilvl w:val="0"/>
          <w:numId w:val="0"/>
        </w:numPr>
        <w:jc w:val="both"/>
        <w:rPr>
          <w:rFonts w:hint="eastAsia" w:ascii="微软雅黑" w:hAnsi="微软雅黑" w:eastAsia="微软雅黑" w:cs="微软雅黑"/>
          <w:b/>
          <w:bCs/>
          <w:i w:val="0"/>
          <w:iCs w:val="0"/>
          <w:caps w:val="0"/>
          <w:color w:val="262626"/>
          <w:spacing w:val="0"/>
          <w:sz w:val="48"/>
          <w:szCs w:val="48"/>
          <w:shd w:val="clear" w:fill="FFFFFF"/>
        </w:rPr>
      </w:pPr>
    </w:p>
    <w:p w14:paraId="5CDFCE90">
      <w:pPr>
        <w:widowControl w:val="0"/>
        <w:numPr>
          <w:ilvl w:val="0"/>
          <w:numId w:val="0"/>
        </w:numPr>
        <w:jc w:val="both"/>
        <w:rPr>
          <w:rFonts w:hint="eastAsia" w:ascii="微软雅黑" w:hAnsi="微软雅黑" w:eastAsia="微软雅黑" w:cs="微软雅黑"/>
          <w:b/>
          <w:bCs/>
          <w:i w:val="0"/>
          <w:iCs w:val="0"/>
          <w:caps w:val="0"/>
          <w:color w:val="262626"/>
          <w:spacing w:val="0"/>
          <w:sz w:val="48"/>
          <w:szCs w:val="48"/>
          <w:shd w:val="clear" w:fill="FFFFFF"/>
        </w:rPr>
      </w:pPr>
    </w:p>
    <w:p w14:paraId="3AA30074">
      <w:pPr>
        <w:widowControl w:val="0"/>
        <w:numPr>
          <w:ilvl w:val="0"/>
          <w:numId w:val="0"/>
        </w:numPr>
        <w:jc w:val="both"/>
        <w:rPr>
          <w:rFonts w:hint="eastAsia" w:ascii="微软雅黑" w:hAnsi="微软雅黑" w:eastAsia="微软雅黑" w:cs="微软雅黑"/>
          <w:b/>
          <w:bCs/>
          <w:i w:val="0"/>
          <w:iCs w:val="0"/>
          <w:caps w:val="0"/>
          <w:color w:val="262626"/>
          <w:spacing w:val="0"/>
          <w:sz w:val="48"/>
          <w:szCs w:val="48"/>
          <w:shd w:val="clear" w:fill="FFFFFF"/>
        </w:rPr>
      </w:pPr>
    </w:p>
    <w:p w14:paraId="6D6395A2">
      <w:pPr>
        <w:widowControl w:val="0"/>
        <w:numPr>
          <w:ilvl w:val="0"/>
          <w:numId w:val="0"/>
        </w:numPr>
        <w:jc w:val="both"/>
        <w:rPr>
          <w:rFonts w:hint="eastAsia" w:ascii="微软雅黑" w:hAnsi="微软雅黑" w:eastAsia="微软雅黑" w:cs="微软雅黑"/>
          <w:b/>
          <w:bCs/>
          <w:i w:val="0"/>
          <w:iCs w:val="0"/>
          <w:caps w:val="0"/>
          <w:color w:val="262626"/>
          <w:spacing w:val="0"/>
          <w:sz w:val="48"/>
          <w:szCs w:val="48"/>
          <w:shd w:val="clear" w:fill="FFFFFF"/>
        </w:rPr>
      </w:pPr>
    </w:p>
    <w:p w14:paraId="6CB0792A">
      <w:pPr>
        <w:widowControl w:val="0"/>
        <w:numPr>
          <w:ilvl w:val="0"/>
          <w:numId w:val="0"/>
        </w:numPr>
        <w:jc w:val="both"/>
        <w:rPr>
          <w:rFonts w:hint="eastAsia" w:ascii="微软雅黑" w:hAnsi="微软雅黑" w:eastAsia="微软雅黑" w:cs="微软雅黑"/>
          <w:b/>
          <w:bCs/>
          <w:i w:val="0"/>
          <w:iCs w:val="0"/>
          <w:caps w:val="0"/>
          <w:color w:val="262626"/>
          <w:spacing w:val="0"/>
          <w:sz w:val="48"/>
          <w:szCs w:val="48"/>
          <w:shd w:val="clear" w:fill="FFFFFF"/>
        </w:rPr>
      </w:pPr>
    </w:p>
    <w:p w14:paraId="3779967F">
      <w:pPr>
        <w:widowControl w:val="0"/>
        <w:numPr>
          <w:ilvl w:val="0"/>
          <w:numId w:val="0"/>
        </w:numPr>
        <w:jc w:val="both"/>
        <w:rPr>
          <w:rFonts w:hint="eastAsia" w:ascii="微软雅黑" w:hAnsi="微软雅黑" w:eastAsia="微软雅黑" w:cs="微软雅黑"/>
          <w:b/>
          <w:bCs/>
          <w:i w:val="0"/>
          <w:iCs w:val="0"/>
          <w:caps w:val="0"/>
          <w:color w:val="262626"/>
          <w:spacing w:val="0"/>
          <w:sz w:val="48"/>
          <w:szCs w:val="48"/>
          <w:shd w:val="clear" w:fill="FFFFFF"/>
        </w:rPr>
      </w:pPr>
    </w:p>
    <w:p w14:paraId="13EF3D27">
      <w:pPr>
        <w:widowControl w:val="0"/>
        <w:numPr>
          <w:ilvl w:val="0"/>
          <w:numId w:val="0"/>
        </w:numPr>
        <w:jc w:val="both"/>
        <w:rPr>
          <w:rFonts w:hint="eastAsia" w:ascii="微软雅黑" w:hAnsi="微软雅黑" w:eastAsia="微软雅黑" w:cs="微软雅黑"/>
          <w:b/>
          <w:bCs/>
          <w:i w:val="0"/>
          <w:iCs w:val="0"/>
          <w:caps w:val="0"/>
          <w:color w:val="262626"/>
          <w:spacing w:val="0"/>
          <w:sz w:val="48"/>
          <w:szCs w:val="48"/>
          <w:shd w:val="clear" w:fill="FFFFFF"/>
        </w:rPr>
      </w:pPr>
    </w:p>
    <w:p w14:paraId="00657ED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方正小标宋简体" w:cs="Times New Roman"/>
          <w:color w:val="auto"/>
          <w:sz w:val="44"/>
          <w:szCs w:val="44"/>
          <w:lang w:val="en-US" w:eastAsia="zh-CN"/>
        </w:rPr>
      </w:pPr>
    </w:p>
    <w:p w14:paraId="2EA7A703">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方正小标宋简体" w:cs="Times New Roman"/>
          <w:color w:val="auto"/>
          <w:sz w:val="44"/>
          <w:szCs w:val="44"/>
          <w:lang w:val="en-US" w:eastAsia="zh-CN"/>
        </w:rPr>
      </w:pPr>
      <w:bookmarkStart w:id="5" w:name="_Toc510"/>
      <w:r>
        <w:rPr>
          <w:rFonts w:hint="eastAsia" w:ascii="Times New Roman" w:hAnsi="Times New Roman" w:eastAsia="方正小标宋简体" w:cs="Times New Roman"/>
          <w:color w:val="auto"/>
          <w:sz w:val="44"/>
          <w:szCs w:val="44"/>
          <w:lang w:val="en-US" w:eastAsia="zh-CN"/>
        </w:rPr>
        <w:t>习近平致吉林大学建校80周年的贺信</w:t>
      </w:r>
      <w:bookmarkEnd w:id="5"/>
    </w:p>
    <w:p w14:paraId="717EB6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值此吉林大学建校80周年之际，我向全体师生员工和广大校友致以祝贺！</w:t>
      </w:r>
    </w:p>
    <w:p w14:paraId="544E9C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新起点上，希望吉林大学以新时代中国特色社会主义思想为指导，传承红色基因，发挥综合优势，聚焦国家战略需求，不断优化学科专业布局，提升教学科研水平，努力培养更多高素质人才，为推动新时代东北全面振兴、推进中国式现代化作出更大贡献。</w:t>
      </w:r>
    </w:p>
    <w:p w14:paraId="66293A1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习近平</w:t>
      </w:r>
    </w:p>
    <w:p w14:paraId="50392C5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2026年9月16日</w:t>
      </w:r>
    </w:p>
    <w:p w14:paraId="7191CC88">
      <w:pPr>
        <w:jc w:val="right"/>
        <w:rPr>
          <w:rFonts w:hint="eastAsia" w:ascii="Times New Roman" w:hAnsi="Times New Roman" w:eastAsia="方正楷体_GB2312" w:cs="Times New Roman"/>
          <w:bCs/>
          <w:color w:val="auto"/>
          <w:sz w:val="32"/>
          <w:szCs w:val="32"/>
          <w:lang w:val="en-US" w:eastAsia="zh-CN"/>
        </w:rPr>
      </w:pPr>
      <w:r>
        <w:rPr>
          <w:rFonts w:hint="default" w:ascii="Times New Roman" w:hAnsi="Times New Roman" w:eastAsia="方正楷体_GB2312" w:cs="Times New Roman"/>
          <w:bCs/>
          <w:color w:val="auto"/>
          <w:sz w:val="32"/>
          <w:szCs w:val="32"/>
          <w:lang w:val="en-US" w:eastAsia="zh-CN"/>
        </w:rPr>
        <w:t>来源：“学习强国”学习平台</w:t>
      </w:r>
    </w:p>
    <w:p w14:paraId="70F9F315">
      <w:pPr>
        <w:widowControl w:val="0"/>
        <w:numPr>
          <w:ilvl w:val="0"/>
          <w:numId w:val="0"/>
        </w:numPr>
        <w:jc w:val="both"/>
        <w:rPr>
          <w:rFonts w:hint="eastAsia" w:ascii="微软雅黑" w:hAnsi="微软雅黑" w:eastAsia="微软雅黑" w:cs="微软雅黑"/>
          <w:b/>
          <w:bCs/>
          <w:i w:val="0"/>
          <w:iCs w:val="0"/>
          <w:caps w:val="0"/>
          <w:color w:val="262626"/>
          <w:spacing w:val="0"/>
          <w:sz w:val="48"/>
          <w:szCs w:val="48"/>
          <w:shd w:val="clear" w:fill="FFFFFF"/>
        </w:rPr>
      </w:pPr>
    </w:p>
    <w:p w14:paraId="0E8C62FE">
      <w:pPr>
        <w:widowControl w:val="0"/>
        <w:numPr>
          <w:ilvl w:val="0"/>
          <w:numId w:val="0"/>
        </w:numPr>
        <w:jc w:val="both"/>
        <w:rPr>
          <w:rFonts w:hint="eastAsia" w:ascii="微软雅黑" w:hAnsi="微软雅黑" w:eastAsia="微软雅黑" w:cs="微软雅黑"/>
          <w:b/>
          <w:bCs/>
          <w:i w:val="0"/>
          <w:iCs w:val="0"/>
          <w:caps w:val="0"/>
          <w:color w:val="262626"/>
          <w:spacing w:val="0"/>
          <w:sz w:val="48"/>
          <w:szCs w:val="48"/>
          <w:shd w:val="clear" w:fill="FFFFFF"/>
        </w:rPr>
      </w:pPr>
    </w:p>
    <w:p w14:paraId="742D7EE2">
      <w:pPr>
        <w:widowControl w:val="0"/>
        <w:numPr>
          <w:ilvl w:val="0"/>
          <w:numId w:val="0"/>
        </w:numPr>
        <w:jc w:val="both"/>
        <w:rPr>
          <w:rFonts w:hint="eastAsia" w:ascii="微软雅黑" w:hAnsi="微软雅黑" w:eastAsia="微软雅黑" w:cs="微软雅黑"/>
          <w:b/>
          <w:bCs/>
          <w:i w:val="0"/>
          <w:iCs w:val="0"/>
          <w:caps w:val="0"/>
          <w:color w:val="262626"/>
          <w:spacing w:val="0"/>
          <w:sz w:val="48"/>
          <w:szCs w:val="48"/>
          <w:shd w:val="clear" w:fill="FFFFFF"/>
        </w:rPr>
      </w:pPr>
    </w:p>
    <w:p w14:paraId="5B07811D">
      <w:pPr>
        <w:widowControl w:val="0"/>
        <w:numPr>
          <w:ilvl w:val="0"/>
          <w:numId w:val="0"/>
        </w:numPr>
        <w:jc w:val="both"/>
        <w:rPr>
          <w:rFonts w:hint="eastAsia" w:ascii="微软雅黑" w:hAnsi="微软雅黑" w:eastAsia="微软雅黑" w:cs="微软雅黑"/>
          <w:b/>
          <w:bCs/>
          <w:i w:val="0"/>
          <w:iCs w:val="0"/>
          <w:caps w:val="0"/>
          <w:color w:val="262626"/>
          <w:spacing w:val="0"/>
          <w:sz w:val="48"/>
          <w:szCs w:val="48"/>
          <w:shd w:val="clear" w:fill="FFFFFF"/>
        </w:rPr>
      </w:pPr>
    </w:p>
    <w:p w14:paraId="2EB1927C">
      <w:pPr>
        <w:widowControl w:val="0"/>
        <w:numPr>
          <w:ilvl w:val="0"/>
          <w:numId w:val="0"/>
        </w:numPr>
        <w:jc w:val="both"/>
        <w:rPr>
          <w:rFonts w:hint="eastAsia" w:ascii="微软雅黑" w:hAnsi="微软雅黑" w:eastAsia="微软雅黑" w:cs="微软雅黑"/>
          <w:b/>
          <w:bCs/>
          <w:i w:val="0"/>
          <w:iCs w:val="0"/>
          <w:caps w:val="0"/>
          <w:color w:val="262626"/>
          <w:spacing w:val="0"/>
          <w:sz w:val="48"/>
          <w:szCs w:val="48"/>
          <w:shd w:val="clear" w:fill="FFFFFF"/>
        </w:rPr>
      </w:pPr>
    </w:p>
    <w:p w14:paraId="58EA448A">
      <w:pPr>
        <w:widowControl w:val="0"/>
        <w:numPr>
          <w:ilvl w:val="0"/>
          <w:numId w:val="0"/>
        </w:numPr>
        <w:jc w:val="both"/>
        <w:rPr>
          <w:rFonts w:hint="eastAsia" w:ascii="微软雅黑" w:hAnsi="微软雅黑" w:eastAsia="微软雅黑" w:cs="微软雅黑"/>
          <w:b/>
          <w:bCs/>
          <w:i w:val="0"/>
          <w:iCs w:val="0"/>
          <w:caps w:val="0"/>
          <w:color w:val="262626"/>
          <w:spacing w:val="0"/>
          <w:sz w:val="48"/>
          <w:szCs w:val="48"/>
          <w:shd w:val="clear" w:fill="FFFFFF"/>
        </w:rPr>
      </w:pPr>
    </w:p>
    <w:p w14:paraId="2E1E00AF">
      <w:pPr>
        <w:widowControl w:val="0"/>
        <w:numPr>
          <w:ilvl w:val="0"/>
          <w:numId w:val="0"/>
        </w:numPr>
        <w:jc w:val="both"/>
        <w:rPr>
          <w:rFonts w:hint="eastAsia" w:ascii="微软雅黑" w:hAnsi="微软雅黑" w:eastAsia="微软雅黑" w:cs="微软雅黑"/>
          <w:b/>
          <w:bCs/>
          <w:i w:val="0"/>
          <w:iCs w:val="0"/>
          <w:caps w:val="0"/>
          <w:color w:val="262626"/>
          <w:spacing w:val="0"/>
          <w:sz w:val="48"/>
          <w:szCs w:val="48"/>
          <w:shd w:val="clear" w:fill="FFFFFF"/>
        </w:rPr>
      </w:pPr>
    </w:p>
    <w:p w14:paraId="50AFFC8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color w:val="auto"/>
          <w:sz w:val="44"/>
          <w:szCs w:val="44"/>
          <w:lang w:val="en-US" w:eastAsia="zh-CN"/>
        </w:rPr>
      </w:pPr>
    </w:p>
    <w:p w14:paraId="1EBC899F">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方正小标宋简体" w:cs="Times New Roman"/>
          <w:color w:val="auto"/>
          <w:sz w:val="44"/>
          <w:szCs w:val="44"/>
          <w:lang w:val="en-US" w:eastAsia="zh-CN"/>
        </w:rPr>
      </w:pPr>
      <w:bookmarkStart w:id="6" w:name="_Toc28653"/>
      <w:r>
        <w:rPr>
          <w:rFonts w:hint="eastAsia" w:ascii="Times New Roman" w:hAnsi="Times New Roman" w:eastAsia="方正小标宋简体" w:cs="Times New Roman"/>
          <w:color w:val="auto"/>
          <w:sz w:val="44"/>
          <w:szCs w:val="44"/>
          <w:lang w:val="en-US" w:eastAsia="zh-CN"/>
        </w:rPr>
        <w:t>在加强基础研究座谈会上的讲话</w:t>
      </w:r>
      <w:bookmarkEnd w:id="6"/>
    </w:p>
    <w:p w14:paraId="1161873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（2026年4月30日）</w:t>
      </w:r>
    </w:p>
    <w:p w14:paraId="2DE4724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习近平</w:t>
      </w:r>
    </w:p>
    <w:p w14:paraId="64BFF2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今天，我们召开座谈会，共同探讨如何加强基础研究，目的是提升我国原始创新能力，进一步打牢科技强国建设根基，加快实现高水平科技自立自强。“十五五”开局之年开这个会，具有标志性意义。刚才，几位同志作了发言，提出一些好的意见建议，有关方面要认真研究吸收。</w:t>
      </w:r>
    </w:p>
    <w:p w14:paraId="17AD5D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下面，我讲几点意见。</w:t>
      </w:r>
    </w:p>
    <w:p w14:paraId="0CFBF2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一，充分认识加强基础研究的重要性紧迫性。基础研究是整个科学体系的源头，是所有技术问题的总机关，是全球科技竞争的前沿阵地。人类发展历史表明，基础研究的每一次重大突破，都会推动科学技术巨大进步，带动社会生产力显著跃升。衡量一个国家的科技实力，一个重要标准就是看基础研究水平。要成为世界科技强国，基础研究必须搞上去。当前，新一轮科技革命和产业变革加速突破，全球科技竞争更加聚焦基础前沿领域，科学发现和技术发明互促共进，原创性颠覆性创新的重要性日益凸显。这对我们来说既是历史机遇，也是新的挑战。</w:t>
      </w:r>
    </w:p>
    <w:p w14:paraId="55A6AF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党的十八大以来，党中央高度重视基础研究，通过优化科研布局、加大投入保障、创新体制机制等，推动我国基础研究水平显著提升。同时要看到，与世界科技强国相比，我们的基础研究仍然存在差距，要求我们增强危机感和紧迫感，以更大力度、更实举措加强基础研究。</w:t>
      </w:r>
    </w:p>
    <w:p w14:paraId="7456E2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当前，各级各有关方面对基础研究总体上认识不断提高，但一些地方和单位仍然存在重视不够的问题。基础研究是打基础、利长远的事业，既不能急功近利，也不可消极无为，要有“前人栽树、后人乘凉”的境界和担当，有“十年磨一剑”的恒心和毅力。这不只是科研工作思路问题，更是大局观、政绩观问题。要认真查摆和整改科研工作方面的政绩观偏差，推动各级各有关方面结合实际真正把基础研究工作摆上重要日程，倾力抓、持续抓，不断抓出新成效。</w:t>
      </w:r>
    </w:p>
    <w:p w14:paraId="26BE9A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第二，优化基础研究系统布局。进入大科学时代，基础研究组织化程度越来越高，需要我们加强统筹谋划和顶层设计，加快形成战略性、前瞻性、体系化布局。</w:t>
      </w:r>
    </w:p>
    <w:p w14:paraId="26FB7A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要把准目标方向。有的放矢才能提高基础研究质量。要坚持“四个面向”战略导向，从国家急迫需要和长远需求出发，进一步明确基础研究的主攻方向和重点领域，统筹推进原始创新和关键核心技术攻关。根据不同领域情况分类施策，着力扬优势、补短板、强弱项。</w:t>
      </w:r>
    </w:p>
    <w:p w14:paraId="2F47B8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要强化力量协同。基础研究系统性强，必须广泛调动各方力量。要发挥新型举国体制优势，强化国家实验室、国家科研机构、高水平研究型大学等引领作用，整合资源推进原创性颠覆性创新。鼓励和规范发展新型研发机构，探索创新科研管理方式，壮大基础研究力量。支持科技领军企业牵头或参与基础研究项目，推动企业主导的产学研深度融合，打通基础研究、应用开发、成果转化的创新链条。</w:t>
      </w:r>
    </w:p>
    <w:p w14:paraId="2E04D3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要健全学科布局。学科体系是基础研究的重要基础。面对学科边界不断拓展的新形势，要完善学科设置调整机制。加强数学、物理、化学、生物、天文、地学等基础学科建设，促进应用学科与基础学科协调发展，关注扶持冷门学科、薄弱学科，培育新兴学科，鼓励多学科交叉融合和跨学科研究。</w:t>
      </w:r>
    </w:p>
    <w:p w14:paraId="7CAA34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第三，壮大基础研究人才队伍。基础研究归根结底靠高水平人才。要一体推进教育科技人才发展，全方位做好培养、引进、使用工作，努力使基础研究人才数量充足、素质优良、结构合理。</w:t>
      </w:r>
    </w:p>
    <w:p w14:paraId="6BA9A1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要着力提高自主培养质量。自主培养始终是人才培养的主渠道。要遵循人才成长规律，全面提高教育质量，源源不断培养基础研究后备力量。统筹实施拔尖计划、强基计划、英才计划，注重基础教育阶段早期培养，完善本硕博贯通培养模式，造就更多基础学科拔尖创新人才。优化科教协同育人机制，注重在科研一线发现和培养高水平人才。</w:t>
      </w:r>
    </w:p>
    <w:p w14:paraId="57A6EB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要大力扶持青年人才。青年人才是基础研究的生力军，很多重大成果都是年轻人做出来的。要全链条接续培养青年人才队伍，坚持任务牵引、以老带新，加强教育引导和关心关爱，为青年科技人员的成长成才铺路搭桥，支持他们挑大梁、当主角。</w:t>
      </w:r>
    </w:p>
    <w:p w14:paraId="45D85D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要积极营造良好氛围。基础研究是一项探索未知的事业，需要热爱和坚守。要不断改善基础研究人员的工作和生活条件，保障薪酬待遇，帮助解决实际困难，让他们安身安心安业。大力弘扬科学家精神，讲好科学家故事，加强科普宣传，激发青少年的好奇心、想象力和探求欲，让投身基础研究成为更多青少年的人生追求。</w:t>
      </w:r>
    </w:p>
    <w:p w14:paraId="57AF89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第四，加强对基础研究的支持保障。基础研究很大程度是面向未来的，必须久久为功。要勇于破除思想障碍和制度藩篱，为基础研究提供长期稳定的投入保障和政策支持。</w:t>
      </w:r>
    </w:p>
    <w:p w14:paraId="315970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要加大经费投入。目前我国基础研究经费在全社会研发投入中的占比超过7%，但与世界科技强国15%至20%的比重相比仍有不小差距。要逐步提高基础研究经费占比，进一步拓宽筹资渠道，稳步增加财政投入，引导企业和社会力量加大投入，形成基础研究多元化投入格局。提高科学基金资助效能，对从事基础研究的科研机构和平台基地提供稳定支持，对优秀研究团队和人才实行竞争择优基础上的接续支持，对重大原创项目采取滚动式支持。</w:t>
      </w:r>
    </w:p>
    <w:p w14:paraId="7B3B2F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要优化研究条件。立足科研基础条件自主保障，体系化布局建设重大科技基础设施。加强国家科学数据中心建设，提高数据开放共享水平和利用效率。加紧建设世界一流科技期刊，鼓励国内外成果在我国期刊和平台首发。重视人工智能赋能基础研究，开发科学基础大模型和学科领域专业模型，建设智能化科研平台系统，促进各领域科学加速突破。</w:t>
      </w:r>
    </w:p>
    <w:p w14:paraId="1E743E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要深化科技体制改革。健全符合基础研究特点的分类评价体系，完善代表成果评价、长周期评价、国际同行评价、团队评价等机制，更加注重研究成果的原创性和学术价值。完善基础研究激励机制，深化职务科技成果赋权改革，建立基础研究与成果转化互促机制。改革科研管理方式，为基础研究人员松绑减负。</w:t>
      </w:r>
    </w:p>
    <w:p w14:paraId="042DEC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要净化科研生态。营造开放包容、宽容失败的创新环境，鼓励基础研究人员潜心钻研，敢于提出新问题、开辟新领域、探索新路径。加强科研诚信建设，推动科技界正学风转作风，破除“圈子文化”和“学阀”做派，切实扭转唯论文、唯顶刊、唯帽子、唯奖项倾向，坚决惩治科研腐败。</w:t>
      </w:r>
    </w:p>
    <w:p w14:paraId="1E6F37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五，拓展基础研究国际合作。探索世界科学前沿，国际合作必不可少。要主动融入全球创新网络，在开放合作中提升原始创新能力。深化政府和民间基础研究国际交流合作，发挥共建“一带一路”等平台作用，联合各国开展气候变化、能源环境、生命健康等重大科学问题攻关。加大国家科技计划对外开放力度，扩大基础研究人员交流规模。牵头发起和加入国际大科学计划、大科学工程，支持在华设立国际科技组织，支持国内高校、科研院所、科技组织积极参与全球科技治理。</w:t>
      </w:r>
    </w:p>
    <w:p w14:paraId="6D902C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加强基础研究，需要全党全社会共同努力。中央科技委要强化系统部署和统筹协调，抓好重大任务和重要事项督办。各级党委和政府要加大政策支持力度、做好服务保障，推动党中央决策部署落到实处。</w:t>
      </w:r>
    </w:p>
    <w:p w14:paraId="13CED644">
      <w:pPr>
        <w:jc w:val="right"/>
        <w:rPr>
          <w:rFonts w:hint="default" w:ascii="Times New Roman" w:hAnsi="Times New Roman" w:eastAsia="方正楷体_GB2312" w:cs="Times New Roman"/>
          <w:bCs/>
          <w:color w:val="auto"/>
          <w:sz w:val="32"/>
          <w:szCs w:val="32"/>
          <w:lang w:val="en-US" w:eastAsia="zh-CN"/>
        </w:rPr>
      </w:pPr>
      <w:r>
        <w:rPr>
          <w:rFonts w:hint="default" w:ascii="Times New Roman" w:hAnsi="Times New Roman" w:eastAsia="方正楷体_GB2312" w:cs="Times New Roman"/>
          <w:bCs/>
          <w:color w:val="auto"/>
          <w:sz w:val="32"/>
          <w:szCs w:val="32"/>
          <w:lang w:val="en-US" w:eastAsia="zh-CN"/>
        </w:rPr>
        <w:t>来源：《求是》2026年第18期</w:t>
      </w:r>
    </w:p>
    <w:p w14:paraId="04EE9DD3">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lang w:eastAsia="zh-CN"/>
        </w:rPr>
      </w:pPr>
    </w:p>
    <w:p w14:paraId="0DE68149">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lang w:eastAsia="zh-CN"/>
        </w:rPr>
      </w:pPr>
    </w:p>
    <w:p w14:paraId="4E2C3031">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lang w:eastAsia="zh-CN"/>
        </w:rPr>
      </w:pPr>
    </w:p>
    <w:p w14:paraId="25A4CCB7">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lang w:eastAsia="zh-CN"/>
        </w:rPr>
      </w:pPr>
    </w:p>
    <w:p w14:paraId="38A6C2A2">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lang w:eastAsia="zh-CN"/>
        </w:rPr>
      </w:pPr>
    </w:p>
    <w:p w14:paraId="54EE037C">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方正小标宋简体" w:cs="Times New Roman"/>
          <w:color w:val="auto"/>
          <w:sz w:val="44"/>
          <w:szCs w:val="44"/>
          <w:lang w:val="en-US" w:eastAsia="zh-CN"/>
        </w:rPr>
      </w:pPr>
      <w:bookmarkStart w:id="7" w:name="_Toc8699"/>
      <w:r>
        <w:rPr>
          <w:rFonts w:hint="default" w:ascii="Times New Roman" w:hAnsi="Times New Roman" w:eastAsia="方正小标宋简体" w:cs="Times New Roman"/>
          <w:color w:val="auto"/>
          <w:sz w:val="44"/>
          <w:szCs w:val="44"/>
          <w:lang w:val="en-US" w:eastAsia="zh-CN"/>
        </w:rPr>
        <w:t>在第四十二个教师节到来之际</w:t>
      </w:r>
      <w:bookmarkEnd w:id="7"/>
      <w:r>
        <w:rPr>
          <w:rFonts w:hint="default" w:ascii="Times New Roman" w:hAnsi="Times New Roman" w:eastAsia="方正小标宋简体" w:cs="Times New Roman"/>
          <w:color w:val="auto"/>
          <w:sz w:val="44"/>
          <w:szCs w:val="44"/>
          <w:lang w:val="en-US" w:eastAsia="zh-CN"/>
        </w:rPr>
        <w:t xml:space="preserve"> </w:t>
      </w:r>
    </w:p>
    <w:p w14:paraId="5D389663">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方正小标宋简体" w:cs="Times New Roman"/>
          <w:color w:val="auto"/>
          <w:sz w:val="44"/>
          <w:szCs w:val="44"/>
          <w:lang w:val="en-US" w:eastAsia="zh-CN"/>
        </w:rPr>
      </w:pPr>
      <w:bookmarkStart w:id="8" w:name="_Toc28847"/>
      <w:r>
        <w:rPr>
          <w:rFonts w:hint="default" w:ascii="Times New Roman" w:hAnsi="Times New Roman" w:eastAsia="方正小标宋简体" w:cs="Times New Roman"/>
          <w:color w:val="auto"/>
          <w:sz w:val="44"/>
          <w:szCs w:val="44"/>
          <w:lang w:val="en-US" w:eastAsia="zh-CN"/>
        </w:rPr>
        <w:t>习近平向全国广大教师</w:t>
      </w:r>
      <w:r>
        <w:rPr>
          <w:rFonts w:hint="eastAsia" w:ascii="Times New Roman" w:hAnsi="Times New Roman" w:eastAsia="方正小标宋简体" w:cs="Times New Roman"/>
          <w:color w:val="auto"/>
          <w:sz w:val="44"/>
          <w:szCs w:val="44"/>
          <w:lang w:val="en-US" w:eastAsia="zh-CN"/>
        </w:rPr>
        <w:br w:type="textWrapping"/>
      </w:r>
      <w:r>
        <w:rPr>
          <w:rFonts w:hint="eastAsia" w:ascii="Times New Roman" w:hAnsi="Times New Roman" w:eastAsia="方正小标宋简体" w:cs="Times New Roman"/>
          <w:color w:val="auto"/>
          <w:sz w:val="44"/>
          <w:szCs w:val="44"/>
          <w:lang w:val="en-US" w:eastAsia="zh-CN"/>
        </w:rPr>
        <w:t>和教育工作者致以节日祝贺和诚挚问候</w:t>
      </w:r>
      <w:bookmarkEnd w:id="8"/>
    </w:p>
    <w:p w14:paraId="209A1E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新华社北京9月9日电 在第四十二个教师节到来之际，中共中央总书记、国家主席、中央军委主席习近平代表党中央，向全国广大教师和教育工作者致以节日祝贺和诚挚问候。</w:t>
      </w:r>
    </w:p>
    <w:p w14:paraId="5A95DE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习近平指出，长期以来，全国广大教师认真贯彻党的教育方针，躬耕教坛、传道授业，为党和国家事业发展作出了重要贡献。</w:t>
      </w:r>
    </w:p>
    <w:p w14:paraId="28F5A8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习近平强调，新征程上，希望广大教师牢记为党育人、为国育才的初心使命，落实立德树人根本任务，大力弘扬教育家精神，涵养高尚师德师风，提升专业素质能力，努力培养担当民族复兴大任的时代新人。各级党委和政府要重视加强教师队伍建设，在全社会营造尊师重教良好氛围，汇聚起教育强国建设的强大合力。</w:t>
      </w:r>
    </w:p>
    <w:p w14:paraId="070682A1">
      <w:pPr>
        <w:jc w:val="right"/>
        <w:rPr>
          <w:rFonts w:hint="default" w:ascii="Times New Roman" w:hAnsi="Times New Roman" w:eastAsia="方正楷体_GB2312" w:cs="Times New Roman"/>
          <w:bCs/>
          <w:color w:val="auto"/>
          <w:sz w:val="32"/>
          <w:szCs w:val="32"/>
          <w:lang w:val="en-US" w:eastAsia="zh-CN"/>
        </w:rPr>
      </w:pPr>
      <w:r>
        <w:rPr>
          <w:rFonts w:hint="default" w:ascii="Times New Roman" w:hAnsi="Times New Roman" w:eastAsia="方正楷体_GB2312" w:cs="Times New Roman"/>
          <w:bCs/>
          <w:color w:val="auto"/>
          <w:sz w:val="32"/>
          <w:szCs w:val="32"/>
          <w:lang w:val="en-US" w:eastAsia="zh-CN"/>
        </w:rPr>
        <w:t>来源：“学习强国”学习平台</w:t>
      </w:r>
    </w:p>
    <w:p w14:paraId="46DEF7A9">
      <w:pPr>
        <w:widowControl w:val="0"/>
        <w:numPr>
          <w:ilvl w:val="0"/>
          <w:numId w:val="0"/>
        </w:numPr>
        <w:jc w:val="both"/>
        <w:rPr>
          <w:rFonts w:ascii="微软雅黑" w:hAnsi="微软雅黑" w:eastAsia="微软雅黑" w:cs="微软雅黑"/>
          <w:i w:val="0"/>
          <w:iCs w:val="0"/>
          <w:caps w:val="0"/>
          <w:color w:val="595959"/>
          <w:spacing w:val="0"/>
          <w:sz w:val="21"/>
          <w:szCs w:val="21"/>
          <w:shd w:val="clear" w:fill="FFFFFF"/>
        </w:rPr>
      </w:pPr>
    </w:p>
    <w:p w14:paraId="58E8D27A">
      <w:pPr>
        <w:widowControl w:val="0"/>
        <w:numPr>
          <w:ilvl w:val="0"/>
          <w:numId w:val="0"/>
        </w:numPr>
        <w:jc w:val="both"/>
        <w:rPr>
          <w:rFonts w:ascii="微软雅黑" w:hAnsi="微软雅黑" w:eastAsia="微软雅黑" w:cs="微软雅黑"/>
          <w:i w:val="0"/>
          <w:iCs w:val="0"/>
          <w:caps w:val="0"/>
          <w:color w:val="595959"/>
          <w:spacing w:val="0"/>
          <w:sz w:val="21"/>
          <w:szCs w:val="21"/>
          <w:shd w:val="clear" w:fill="FFFFFF"/>
        </w:rPr>
      </w:pPr>
    </w:p>
    <w:p w14:paraId="33D1EC0D">
      <w:pPr>
        <w:widowControl w:val="0"/>
        <w:numPr>
          <w:ilvl w:val="0"/>
          <w:numId w:val="0"/>
        </w:numPr>
        <w:jc w:val="both"/>
        <w:rPr>
          <w:rFonts w:ascii="微软雅黑" w:hAnsi="微软雅黑" w:eastAsia="微软雅黑" w:cs="微软雅黑"/>
          <w:i w:val="0"/>
          <w:iCs w:val="0"/>
          <w:caps w:val="0"/>
          <w:color w:val="595959"/>
          <w:spacing w:val="0"/>
          <w:sz w:val="21"/>
          <w:szCs w:val="21"/>
          <w:shd w:val="clear" w:fill="FFFFFF"/>
        </w:rPr>
      </w:pPr>
    </w:p>
    <w:p w14:paraId="006CD724">
      <w:pPr>
        <w:widowControl w:val="0"/>
        <w:numPr>
          <w:ilvl w:val="0"/>
          <w:numId w:val="0"/>
        </w:numPr>
        <w:jc w:val="both"/>
        <w:rPr>
          <w:rFonts w:ascii="微软雅黑" w:hAnsi="微软雅黑" w:eastAsia="微软雅黑" w:cs="微软雅黑"/>
          <w:i w:val="0"/>
          <w:iCs w:val="0"/>
          <w:caps w:val="0"/>
          <w:color w:val="595959"/>
          <w:spacing w:val="0"/>
          <w:sz w:val="21"/>
          <w:szCs w:val="21"/>
          <w:shd w:val="clear" w:fill="FFFFFF"/>
        </w:rPr>
      </w:pPr>
    </w:p>
    <w:p w14:paraId="73046B0E">
      <w:pPr>
        <w:widowControl w:val="0"/>
        <w:numPr>
          <w:ilvl w:val="0"/>
          <w:numId w:val="0"/>
        </w:numPr>
        <w:jc w:val="both"/>
        <w:rPr>
          <w:rFonts w:ascii="微软雅黑" w:hAnsi="微软雅黑" w:eastAsia="微软雅黑" w:cs="微软雅黑"/>
          <w:i w:val="0"/>
          <w:iCs w:val="0"/>
          <w:caps w:val="0"/>
          <w:color w:val="595959"/>
          <w:spacing w:val="0"/>
          <w:sz w:val="21"/>
          <w:szCs w:val="21"/>
          <w:shd w:val="clear" w:fill="FFFFFF"/>
        </w:rPr>
        <w:sectPr>
          <w:footerReference r:id="rId6" w:type="default"/>
          <w:pgSz w:w="11906" w:h="16838"/>
          <w:pgMar w:top="1440" w:right="1800" w:bottom="1440" w:left="1800" w:header="851" w:footer="992" w:gutter="0"/>
          <w:pgNumType w:fmt="decimal" w:start="1"/>
          <w:cols w:space="425" w:num="1"/>
          <w:docGrid w:type="lines" w:linePitch="312" w:charSpace="0"/>
        </w:sectPr>
      </w:pPr>
    </w:p>
    <w:p w14:paraId="6123C2A6">
      <w:pPr>
        <w:pStyle w:val="2"/>
        <w:keepNext w:val="0"/>
        <w:keepLines w:val="0"/>
        <w:pageBreakBefore w:val="0"/>
        <w:kinsoku/>
        <w:wordWrap/>
        <w:overflowPunct/>
        <w:topLinePunct w:val="0"/>
        <w:autoSpaceDE/>
        <w:autoSpaceDN/>
        <w:bidi w:val="0"/>
        <w:adjustRightInd/>
        <w:snapToGrid/>
        <w:spacing w:after="0" w:afterLines="0" w:line="560" w:lineRule="exact"/>
        <w:ind w:leftChars="0"/>
        <w:jc w:val="center"/>
        <w:textAlignment w:val="auto"/>
        <w:outlineLvl w:val="0"/>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bookmarkStart w:id="9" w:name="_Toc18231"/>
      <w:bookmarkStart w:id="10" w:name="_Toc3241"/>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习近平总书记指引民族团结进步事业高质量发展</w:t>
      </w:r>
      <w:bookmarkEnd w:id="9"/>
      <w:bookmarkEnd w:id="10"/>
    </w:p>
    <w:p w14:paraId="1B74F1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2026年9月21日至27日，我国将迎来《中华人民共和国民族团结进步促进法》施行后的首个民族团结进步宣传周，多种形式的铸牢中华民族共同体意识宣传教育活动将在全国各地集中开展。</w:t>
      </w:r>
    </w:p>
    <w:p w14:paraId="2BDF03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中华民族是各民族凝聚成的多元一体大家庭，民族团结是我国各族人民的生命线。党的十八大以来，以习近平同志为核心的党中央将民族工作提高到了前所未有的历史新高度，作出一系列重大决策部署，把我国民族团结进步事业持续推向前进。</w:t>
      </w:r>
    </w:p>
    <w:p w14:paraId="2EDD45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石榴花开幸福绵长。在习近平总书记关于加强和改进民族工作的重要思想指引下，各族儿女手足相亲、守望相助，像石榴籽一样紧紧抱在一起，像爱护自己的眼睛一样爱护民族团结，进一步铸牢中华民族共同体意识、推进中华民族共同体建设，民族团结的时代强音响彻神州大地。</w:t>
      </w:r>
    </w:p>
    <w:p w14:paraId="6FDD5A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“把铸牢中华民族共同体意识作为新时代党的民族工作和民族地区各项工作的主线”</w:t>
      </w:r>
    </w:p>
    <w:p w14:paraId="53DD4D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“通过！”</w:t>
      </w:r>
    </w:p>
    <w:p w14:paraId="69355C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2026年3月12日，人民大会堂掌声如潮，十四届全国人大四次会议表决通过民族团结进步促进法，这是新时代第一部民族领域的专门法律。</w:t>
      </w:r>
    </w:p>
    <w:p w14:paraId="4A5A7F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制定民族团结进步促进法，是以习近平同志为核心的党中央部署的重大政治任务和立法任务，为铸牢中华民族共同体意识、推进中华民族共同体建设夯实法治根基，具有重大意义。</w:t>
      </w:r>
    </w:p>
    <w:p w14:paraId="5E4989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做好民族工作，事关祖国统一和边疆巩固，事关民族团结和社会稳定，事关国家长治久安和中华民族伟大复兴。</w:t>
      </w:r>
    </w:p>
    <w:p w14:paraId="6F0924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党的十八大以来，以习近平同志为核心的党中央坚持“两个结合”、着眼“两个大局”，不断推进马克思主义民族理论中国化时代化，形成了习近平总书记关于加强和改进民族工作的重要思想，指引党的民族工作取得新的历史性成就。</w:t>
      </w:r>
    </w:p>
    <w:p w14:paraId="3F1338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当前，我国发展处于战略机遇和风险挑战并存、不确定难预料因素增多的时期，如何开创民族团结进步事业新局面？</w:t>
      </w:r>
    </w:p>
    <w:p w14:paraId="756B48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“实现中华民族伟大复兴的中国梦，就要以铸牢中华民族共同体意识为主线，把民族团结进步事业作为基础性事业抓紧抓好。”习近平总书记谋深虑远，指明方向。</w:t>
      </w:r>
    </w:p>
    <w:p w14:paraId="7CDF61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2014年5月，习近平总书记在第二次中央新疆工作座谈会上鲜明提出“中华民族共同体意识”。在同年召开的中央民族工作会议上，习近平总书记进一步强调，“坚持打牢中华民族共同体的思想基础”。</w:t>
      </w:r>
    </w:p>
    <w:p w14:paraId="089CF5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此后，习近平总书记围绕铸牢中华民族共同体意识这一重大原创性论断作出一系列重要阐释——</w:t>
      </w:r>
    </w:p>
    <w:p w14:paraId="03A892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2017年，在党的十九大上提出“铸牢中华民族共同体意识”并推动其写入党章；2019年，在全国民族团结进步表彰大会上开创性提出“四个共同”的中华民族历史观；2021年，在中央民族工作会议上提出“必须坚持党对民族工作的领导”等“十二个必须”；2024年，在全国民族团结进步表彰大会上将中华民族历史观由“四个共同”拓展为“五个共同”……</w:t>
      </w:r>
    </w:p>
    <w:p w14:paraId="0B0F2B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从白山黑水到云贵高原，从南海之滨到祖国北疆，习近平总书记一次次同各族群众面对面或书信交流，倾听人民心声，与大家共话民族地区发展，推动中华民族共同体意识深入人心。</w:t>
      </w:r>
    </w:p>
    <w:p w14:paraId="022A0F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在湖南湘西花垣县十八洞村，首次提出“精准扶贫”理念；在内蒙古走进四世同堂的“多民族之家”，指出要“促进各民族像石榴籽一样紧紧抱在一起”；在贵州亲切地对乡亲们说“中华民族是个大家庭，五十六个民族五十六朵花”；给浙江景宁畲族自治县各族干部群众回信强调“积极推进民族地区高质量发展和共同富裕”……</w:t>
      </w:r>
    </w:p>
    <w:p w14:paraId="278EAC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共同家园、共同身份、共同名字、共同梦想，五十六个民族凝聚在一起就是中华民族共同体。</w:t>
      </w:r>
    </w:p>
    <w:p w14:paraId="47D2E9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2025年，习近平作为中共中央总书记、国家主席、中央军委主席率中央代表团分别出席西藏自治区成立60周年庆祝活动和新疆维吾尔自治区成立70周年庆祝活动，这在党和国家历史上都是第一次。</w:t>
      </w:r>
    </w:p>
    <w:p w14:paraId="76BCA2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在发表二〇二六年新年贺词时，习近平总书记深情回忆这两个“第一次”：“我到西藏、新疆出席庆祝活动，从雪域高原到天山南北，各族群众心手相连，像石榴籽一样紧紧抱在一起，大家用洁白的哈达、热情的歌舞，表达对祖国的热爱、对幸福的礼赞。”</w:t>
      </w:r>
    </w:p>
    <w:p w14:paraId="65F5B8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在习近平总书记关于加强和改进民族工作的重要思想指引下，坚持以铸牢中华民族共同体意识为主线，中国特色解决民族问题的正确道路不断巩固和拓展，中华民族凝聚力向心力极大增强。</w:t>
      </w:r>
    </w:p>
    <w:p w14:paraId="1D1C29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“中华民族一家亲、同心共筑中国梦，这是新时代我国民族团结进步事业的生动写照”</w:t>
      </w:r>
    </w:p>
    <w:p w14:paraId="0FF82D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错落有致的彝家新居，顺山而建的蓝莓园，连片铺展的光伏板……走进四川昭觉县解放沟镇火普村，一派欣欣向荣的景象映入眼帘。这让村民吉地尔子的记忆回到8年多前——</w:t>
      </w:r>
    </w:p>
    <w:p w14:paraId="19DC4F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2018年春节来临之际，习近平总书记来到这个大凉山深处的村落，走进彝族贫困群众家中，同当地干部群众共商精准脱贫之策。</w:t>
      </w:r>
    </w:p>
    <w:p w14:paraId="6B3BEC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如今，依靠发展蓝莓产业和特色文旅脱贫的火普村，日子越过越红火，成为新时代民族地区蓬勃发展的生动缩影。</w:t>
      </w:r>
    </w:p>
    <w:p w14:paraId="7C929C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党的十八大以来，以习近平同志为核心的党中央引领新时代党的民族工作取得历史性成就、发生历史性变革，各族群众的面貌、民族地区的面貌、民族关系的面貌、中华民族的面貌都发生了历史性巨变。</w:t>
      </w:r>
    </w:p>
    <w:p w14:paraId="4ADECE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着力构筑中华民族共有精神家园，为推进中华民族共同体建设提供强大精神文化支撑——</w:t>
      </w:r>
    </w:p>
    <w:p w14:paraId="620734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歌舞剧《长征长征》、舞蹈诗《共同家园》、话剧《永不落幕的伊玛堪》……当下，第七届全国少数民族文艺会演正在进行，一批扎根中华文化沃土、融合各民族文化养分、兼具传统与现代特色的剧目接连亮相北京各大剧场，让观众一睹新时代民族文化艺术风采。</w:t>
      </w:r>
    </w:p>
    <w:p w14:paraId="338ED6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文化是一个民族的魂魄，文化认同是民族团结的根脉。习近平总书记强调：“必须构筑中华民族共有精神家园，使各民族人心归聚、精神相依，形成人心凝聚、团结奋进的强大精神纽带。”</w:t>
      </w:r>
    </w:p>
    <w:p w14:paraId="209FA7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习近平著作选读》等重要著作民族文字版出版发行，引导各族干部群众深刻领悟思想伟力；全国少数民族传统体育运动会、全国少数民族文学创作骏马奖、全国少数民族优秀舞蹈作品展演等活动交相辉映；中华民族共有精神家园建设主题文化活动走进河南、辽宁等地，弘扬民族精神和时代精神……中华民族共有精神家园建设新图景徐徐铺展，夯实铸牢中华民族共同体意识的精神和文化基础。</w:t>
      </w:r>
    </w:p>
    <w:p w14:paraId="7703DD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各民族交往交流交融更加广泛深入，共建民族团结一家亲的幸福家园——</w:t>
      </w:r>
    </w:p>
    <w:p w14:paraId="117E1E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临近中秋节，在新疆乌鲁木齐市天山区固原巷社区，中秋百家宴活动正在筹备，各族家庭相互帮助、亲如一家。</w:t>
      </w:r>
    </w:p>
    <w:p w14:paraId="617606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“习近平总书记在我们社区考察时说能感受到社区里各民族其乐融融，这更加坚定了我们做好民族工作的信心。”社区党总支书记张耀文说。</w:t>
      </w:r>
    </w:p>
    <w:p w14:paraId="747BCE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沿着习近平总书记指引的方向，云南深化“团结进步同心营”品牌建设，形成“一州（市）一品牌、一地一特色”；甘肃举办“石榴花开·同心筑梦”台湾青少年陇上文化研习营，为两岸青少年互学互鉴、同心联谊搭建交流平台；广东以互嵌式社区建设为抓手，让各族群众参与到社区治理中来……党的十八大以来，各民族交往交流交融的广度和深度前所未有，共居共学、共建共享、共事共乐，汇聚起同心奋进的强大合力。</w:t>
      </w:r>
    </w:p>
    <w:p w14:paraId="59BB1D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加快民族地区高质量发展，推动各民族共同迈向社会主义现代化——</w:t>
      </w:r>
    </w:p>
    <w:p w14:paraId="10FC0B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巍巍昆仑，莽莽雪域。20载弹指一挥间。</w:t>
      </w:r>
    </w:p>
    <w:p w14:paraId="1AE77D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2026年7月，青藏铁路迎来全线通车20周年。新时代以来，以青藏铁路为主轴、拉日铁路和拉林铁路为两翼的高原铁路骨架持续完善，青藏高原铁路运营里程目前已达4000多公里，为雪域高原经济社会高质量发展注入强劲动能。</w:t>
      </w:r>
    </w:p>
    <w:p w14:paraId="29325E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数据显示，2020年到2025年，我国五个自治区地区生产总值总和从6.01万亿元增加到8.66万亿元，年均增长5.5%。</w:t>
      </w:r>
    </w:p>
    <w:p w14:paraId="4492C8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深入推进新时代兴边富民行动，加快培育发展呼包鄂榆、宁夏沿黄、天山北坡等城市群……一系列举措支持民族地区加快融入国家发展大局，促进各地区在经济上更加紧密地连在一起、融为一体，在发展中保障和改善民生，不断满足各族人民对美好生活的向往。</w:t>
      </w:r>
    </w:p>
    <w:p w14:paraId="495C67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日子富起来、生活美起来，各族儿女共同唱响幸福欢歌，歌声传四方。</w:t>
      </w:r>
    </w:p>
    <w:p w14:paraId="5011CB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“各族人民要心手相牵、团结奋进，共创中华民族的美好未来，共享民族复兴的伟大荣光”</w:t>
      </w:r>
    </w:p>
    <w:p w14:paraId="70E85D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“紧紧依靠和团结带领全国各族人民奋进新征程、建功新时代，奋力创造新的历史辉煌！”2026年7月1日，在庆祝中国共产党成立105周年大会上，习近平总书记向全党同志发出号召。</w:t>
      </w:r>
    </w:p>
    <w:p w14:paraId="3381F6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思想之光照亮复兴征程。习近平总书记关于加强和改进民族工作的重要思想贯穿经济、政治、文化、社会、生态文明建设和党的建设等各个领域，是推动新时代党的民族工作高质量发展的强大思想武器。</w:t>
      </w:r>
    </w:p>
    <w:p w14:paraId="3763E2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面向未来，必须始终坚持党的领导，不断巩固各民族团结奋斗的共同思想政治基础。</w:t>
      </w:r>
    </w:p>
    <w:p w14:paraId="32739D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在庆祝中国共产党成立105周年之际，广西南宁市良庆区良庆镇蟠龙社区党委荣获“全国先进基层党组织”称号，当地干部群众倍感振奋。</w:t>
      </w:r>
    </w:p>
    <w:p w14:paraId="3B51F3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这是对社区党建工作、基层治理和民族团结进步事业的一份肯定。”蟠龙社区党委书记刘雁琳表示，将牢记习近平总书记来社区考察时的嘱托，聚焦党建引领聚合力、服务为本促发展，持续提升各族居民的获得感、幸福感、安全感。</w:t>
      </w:r>
    </w:p>
    <w:p w14:paraId="21CC6A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党的领导是党和国家的根本所在、命脉所在，是全国各族人民的利益所系、命运所系。实践充分证明，只有中国共产党才能实现中华民族的大团结，只有中国特色社会主义才能凝聚各民族、发展各民族、繁荣各民族。</w:t>
      </w:r>
    </w:p>
    <w:p w14:paraId="1490B8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看着北斗星走不迷路，跟着共产党走会幸福。广大党员干部深刻学习领会习近平总书记关于加强和改进民族工作的重要思想，着力做好抓党建促民族团结进步工作，把党的领导贯穿民族工作全过程。</w:t>
      </w:r>
    </w:p>
    <w:p w14:paraId="66C7E7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面向未来，坚持以铸牢中华民族共同体意识为主线，引导各族人民牢固树立休戚与共、荣辱与共、生死与共、命运与共的共同体理念。</w:t>
      </w:r>
    </w:p>
    <w:p w14:paraId="5A4863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1947年4月到5月在乌兰浩特召开的内蒙古人民代表会议，成立了中国共产党领导的第一个省级民族自治区……”在内蒙古兴安盟乌兰浩特市的五一会址大厅内，情景剧《五一大会》正在上演，前来研学的孩子们认真聆听红色故事。</w:t>
      </w:r>
    </w:p>
    <w:p w14:paraId="2CFAEA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从打造一体化红色研学阵地到开展结对共建，兴安盟多措并举推动铸牢中华民族共同体意识落地生根。</w:t>
      </w:r>
    </w:p>
    <w:p w14:paraId="09D622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习近平总书记指出，“中华民族共同体意识是民族团结之本”“铸牢中华民族共同体意识是全党全国各族人民的共同任务”。</w:t>
      </w:r>
    </w:p>
    <w:p w14:paraId="1329C8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随着民族团结进步促进法施行，党委统一领导、政府依法管理、统一战线工作部门牵头协调、民族工作部门履职尽责、各部门通力合作、全社会共同参与的民族工作格局正在不断完善，铸牢中华民族共同体意识进一步贯穿到民族工作全过程各领域，推动中华民族成为认同度更高、凝聚力更强的命运共同体。</w:t>
      </w:r>
    </w:p>
    <w:p w14:paraId="22278E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面向未来，必须最大限度把各民族凝聚起来，共同团结奋斗、共同繁荣发展，以中国式现代化全面推进强国建设、民族复兴伟业。</w:t>
      </w:r>
    </w:p>
    <w:p w14:paraId="23E4BE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要总结运用闽宁协作等有益经验，进一步完善协作机制，优化协作方式，拓展协作领域，推动东西部产业互补、人员互动、技术互学、观念互通、作风互鉴，实现互利共赢、共同发展。”“十五五”开局之年，也是我国开展东西部协作30周年，习近平总书记为新起点上常态化做好东西部协作工作指明方向。</w:t>
      </w:r>
    </w:p>
    <w:p w14:paraId="0D842A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在闽宁协作助力下，宁夏历史性解决绝对贫困问题，走上高质量发展的康庄大道。</w:t>
      </w:r>
    </w:p>
    <w:p w14:paraId="406B65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援藏援疆援青干部牢记初心使命，与当地干部群众携手奋进、推动发展；民族地区各族群众到东中部地区就业创业、安居定居……各民族共同团结进步、共同繁荣发展，正是中华民族的生命所在、力量所在、希望所在。</w:t>
      </w:r>
    </w:p>
    <w:p w14:paraId="5FA85F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习近平总书记强调：“我们依靠全国各族人民团结奋斗创造了彪炳史册的伟大成就，也要依靠全国各族人民团结奋斗续写新的辉煌。”</w:t>
      </w:r>
    </w:p>
    <w:p w14:paraId="73088C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新的历史起点上，坚持以铸牢中华民族共同体意识为主线，推进中华民族共同体建设，各族儿女心手相牵、团结奋进，以中华民族大团结全面推进中国式现代化，中华民族伟大复兴的中国梦一定能够实现。</w:t>
      </w:r>
    </w:p>
    <w:p w14:paraId="79E1C2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 xml:space="preserve">                                来源：新华社</w:t>
      </w:r>
    </w:p>
    <w:p w14:paraId="52187BAB">
      <w:pPr>
        <w:widowControl w:val="0"/>
        <w:numPr>
          <w:ilvl w:val="0"/>
          <w:numId w:val="0"/>
        </w:numPr>
        <w:jc w:val="both"/>
        <w:rPr>
          <w:rFonts w:ascii="微软雅黑" w:hAnsi="微软雅黑" w:eastAsia="微软雅黑" w:cs="微软雅黑"/>
          <w:i w:val="0"/>
          <w:iCs w:val="0"/>
          <w:caps w:val="0"/>
          <w:color w:val="595959"/>
          <w:spacing w:val="0"/>
          <w:sz w:val="21"/>
          <w:szCs w:val="21"/>
          <w:shd w:val="clear" w:fill="FFFFFF"/>
        </w:rPr>
      </w:pPr>
    </w:p>
    <w:p w14:paraId="09E64C0F">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2824334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color w:val="auto"/>
          <w:sz w:val="44"/>
          <w:szCs w:val="44"/>
          <w:lang w:val="en-US" w:eastAsia="zh-CN"/>
        </w:rPr>
      </w:pPr>
    </w:p>
    <w:p w14:paraId="01E9811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color w:val="auto"/>
          <w:sz w:val="44"/>
          <w:szCs w:val="44"/>
          <w:lang w:val="en-US" w:eastAsia="zh-CN"/>
        </w:rPr>
      </w:pPr>
    </w:p>
    <w:p w14:paraId="7BF1077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color w:val="auto"/>
          <w:sz w:val="44"/>
          <w:szCs w:val="44"/>
          <w:lang w:val="en-US" w:eastAsia="zh-CN"/>
        </w:rPr>
      </w:pPr>
    </w:p>
    <w:p w14:paraId="5203BA3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color w:val="auto"/>
          <w:sz w:val="44"/>
          <w:szCs w:val="44"/>
          <w:lang w:val="en-US" w:eastAsia="zh-CN"/>
        </w:rPr>
      </w:pPr>
    </w:p>
    <w:p w14:paraId="238A886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color w:val="auto"/>
          <w:sz w:val="44"/>
          <w:szCs w:val="44"/>
          <w:lang w:val="en-US" w:eastAsia="zh-CN"/>
        </w:rPr>
      </w:pPr>
    </w:p>
    <w:p w14:paraId="4CFEC719">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方正小标宋简体" w:cs="Times New Roman"/>
          <w:color w:val="auto"/>
          <w:sz w:val="44"/>
          <w:szCs w:val="44"/>
          <w:lang w:val="en-US" w:eastAsia="zh-CN"/>
        </w:rPr>
      </w:pPr>
      <w:bookmarkStart w:id="11" w:name="_Toc15465"/>
      <w:r>
        <w:rPr>
          <w:rFonts w:hint="eastAsia" w:ascii="Times New Roman" w:hAnsi="Times New Roman" w:eastAsia="方正小标宋简体" w:cs="Times New Roman"/>
          <w:color w:val="auto"/>
          <w:sz w:val="44"/>
          <w:szCs w:val="44"/>
          <w:lang w:val="en-US" w:eastAsia="zh-CN"/>
        </w:rPr>
        <w:t>“十一个明确”：习近平强军思想的主要内容</w:t>
      </w:r>
      <w:bookmarkEnd w:id="11"/>
    </w:p>
    <w:p w14:paraId="53FC00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强军实践永不止步，理论创新没有止境。习近平强军思想，立足新时代强军兴军实践，提出一系列标志性引领性的新理念新思想新战略，形成一个内涵丰富、思想深邃、与时俱进的科学军事理论体系。这一思想的主要内容，集中体现在“十一个明确”的新概括，充分彰显了党的军事指导理论的时代性、开放性和创造性。</w:t>
      </w:r>
    </w:p>
    <w:p w14:paraId="54B46D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明确党对人民军队的绝对领导是人民军队建军之本、强军之魂，必须全面加强军队党的领导和党的建设，贯彻党领导军队的一系列根本原则和制度，确保部队绝对忠诚、绝对纯洁、绝对可靠。</w:t>
      </w:r>
    </w:p>
    <w:p w14:paraId="4D1666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明确强国必须强军，巩固国防和强大人民军队是新时代坚持和发展中国特色社会主义、实现中华民族伟大复兴的战略支撑，人民军队必须有效履行新时代使命任务。</w:t>
      </w:r>
    </w:p>
    <w:p w14:paraId="5285B9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明确党在新时代的强军目标是建设一支听党指挥、能打胜仗、作风优良的人民军队，到2027年实现建军一百年奋斗目标，到2035年基本实现国防和军队现代化，到本世纪中叶把人民军队建成世界一流军队。</w:t>
      </w:r>
    </w:p>
    <w:p w14:paraId="5C78A7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明确军队是要准备打仗的，必须聚焦能打仗、打胜仗，扭住强敌对手，创新军事战略指导，发展人民战争战略战术，全面加强练兵备战，坚定灵活开展军事斗争，有效塑造态势、管控危机、遏制战争、打赢战争。</w:t>
      </w:r>
    </w:p>
    <w:p w14:paraId="5D8432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明确推进强军事业必须坚持政治建军、改革强军、科技强军、人才强军、依法治军，坚持边斗争、边备战、边建设，更加注重聚焦实战、创新驱动、体系建设、集约高效、军民融合，加强军事治理，推动高质量发展，全面提高革命化现代化正规化水平。</w:t>
      </w:r>
    </w:p>
    <w:p w14:paraId="140D53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明确改革是强军的必由之路，必须推进军队组织形态现代化，构建中国特色现代军事力量体系，完善中国特色社会主义军事制度。</w:t>
      </w:r>
    </w:p>
    <w:p w14:paraId="404903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明确科技是核心战斗力，必须坚持自主创新战略基点，推进高水平科技自立自强，统筹推进军事理论、技术、组织、管理、文化等各方面创新，建设创新型人民军队。</w:t>
      </w:r>
    </w:p>
    <w:p w14:paraId="0122DD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明确强军之道要在得人，必须贯彻新时代军事教育方针，推动军事人员能力素质、结构布局、开发管理全面转型升级，锻造德才兼备的高素质、专业化新型军事人才。</w:t>
      </w:r>
    </w:p>
    <w:p w14:paraId="7C1511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明确依法治军是我们党建军治军基本方式，必须构建中国特色军事法治体系，推动治军方式根本性转变，提高国防和军队建设法治化水平。</w:t>
      </w:r>
    </w:p>
    <w:p w14:paraId="3D7246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bCs/>
          <w:color w:val="auto"/>
          <w:sz w:val="32"/>
          <w:szCs w:val="32"/>
          <w:lang w:val="en-US" w:eastAsia="zh-CN"/>
        </w:rPr>
        <w:t>明确军民融合发展是兴国之举、强军之策，必须巩固提高一体化国家战略体系和能力。</w:t>
      </w:r>
      <w:r>
        <w:rPr>
          <w:rFonts w:hint="default" w:ascii="Times New Roman" w:hAnsi="Times New Roman" w:eastAsia="仿宋_GB2312" w:cs="Times New Roman"/>
          <w:bCs/>
          <w:color w:val="auto"/>
          <w:sz w:val="32"/>
          <w:szCs w:val="32"/>
          <w:lang w:val="en-US" w:eastAsia="zh-CN"/>
        </w:rPr>
        <w:br w:type="textWrapping"/>
      </w:r>
      <w:r>
        <w:rPr>
          <w:rFonts w:hint="default" w:ascii="Times New Roman" w:hAnsi="Times New Roman" w:eastAsia="仿宋_GB2312" w:cs="Times New Roman"/>
          <w:bCs/>
          <w:color w:val="auto"/>
          <w:sz w:val="32"/>
          <w:szCs w:val="32"/>
          <w:lang w:val="en-US" w:eastAsia="zh-CN"/>
        </w:rPr>
        <w:t>明确作风优良是我军鲜明特色和政治优势，必须全面从严治党、全面从严治军，全面锻造过硬基层，坚定不移正风肃纪反腐，大力弘扬我党我军光荣传统和优良作风，永葆人民军队性质、宗旨、本色。</w:t>
      </w:r>
    </w:p>
    <w:p w14:paraId="284D54AB">
      <w:pPr>
        <w:jc w:val="right"/>
        <w:rPr>
          <w:rFonts w:hint="default" w:ascii="Times New Roman" w:hAnsi="Times New Roman" w:eastAsia="方正楷体_GB2312" w:cs="Times New Roman"/>
          <w:bCs/>
          <w:color w:val="auto"/>
          <w:sz w:val="32"/>
          <w:szCs w:val="32"/>
          <w:lang w:val="en-US" w:eastAsia="zh-CN"/>
        </w:rPr>
      </w:pPr>
      <w:r>
        <w:rPr>
          <w:rFonts w:hint="eastAsia" w:ascii="Times New Roman" w:hAnsi="Times New Roman" w:eastAsia="方正楷体_GB2312" w:cs="Times New Roman"/>
          <w:bCs/>
          <w:color w:val="auto"/>
          <w:sz w:val="32"/>
          <w:szCs w:val="32"/>
          <w:lang w:val="en-US" w:eastAsia="zh-CN"/>
        </w:rPr>
        <w:t>来源：求是网</w:t>
      </w:r>
    </w:p>
    <w:p w14:paraId="2F5E9F1F">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22CEE639">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方正小标宋简体" w:cs="Times New Roman"/>
          <w:color w:val="auto"/>
          <w:sz w:val="44"/>
          <w:szCs w:val="44"/>
          <w:lang w:val="en-US" w:eastAsia="zh-CN"/>
        </w:rPr>
      </w:pPr>
      <w:bookmarkStart w:id="12" w:name="_Toc3664"/>
      <w:r>
        <w:rPr>
          <w:rFonts w:hint="eastAsia" w:ascii="Times New Roman" w:hAnsi="Times New Roman" w:eastAsia="方正小标宋简体" w:cs="Times New Roman"/>
          <w:color w:val="auto"/>
          <w:sz w:val="44"/>
          <w:szCs w:val="44"/>
          <w:lang w:val="en-US" w:eastAsia="zh-CN"/>
        </w:rPr>
        <w:t>中共中央宣传部等印发《关于组织开展2026年“全民国防教育月”活动的通知》</w:t>
      </w:r>
      <w:bookmarkEnd w:id="12"/>
    </w:p>
    <w:p w14:paraId="6D9655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新华社北京9月1日电 近日，中共中央宣传部等12部门联合印发通知，要求在9月集中组织开展“全民国防教育月”活动。</w:t>
      </w:r>
    </w:p>
    <w:p w14:paraId="4DB2D7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通知强调，要坚持以习近平新时代中国特色社会主义思想为指导，全面贯彻落实习近平总书记关于加强全民国防教育的重要论述，坚持以社会主义核心价值观为引领，高扬爱国主义主旋律，围绕“弘扬伟大长征精神　同心共筑强大国防”主题，精心组织开展群众性国防教育活动，更好教育引导广大干部群众增强国防观念、履行国防义务，着力营造关心国防、热爱国防、建设国防、保卫国防的浓厚社会氛围，不断夯实全面推进强国强军事业的思想基础和精神支撑。</w:t>
      </w:r>
    </w:p>
    <w:p w14:paraId="1C4412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　　通知提出，要坚持把学习贯彻习近平强军思想作为全民国防教育的首要任务，着力抓好系统化学习、学理化阐释、大众化普及。紧密结合弘扬伟大建党精神、伟大长征精神，广泛开展理想信念教育、爱国主义教育和革命传统教育活动，厚植家国情怀，增进国防情感。持续打造具有鲜明时代特点的项目品牌，提升国防教育参与度和吸引力。坚持有力有效、平实务实，大力宣传国防和军队建设领域先进典型人物，总结发布国防教育工作先进典型案例，更好以典型树标杆、作示范。认真抓好学生军训工作，深化军营开放活动，推动军事教育实践扩大覆盖面、提升实效性。用好网络传播品牌，推出系列融媒体作品，唱响爱我国防爱我军的时代强音。</w:t>
      </w:r>
    </w:p>
    <w:p w14:paraId="028652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　　通知要求，各地各有关部门要深化思想认识，提高工作站位，确保方向正确、思路明确、措施精确。坚持面向社会、面向全民、面向基层，因地制宜设计活动项目，让群众便于参与、乐于参与。牢固树立和践行正确政绩观，严格落实中央八项规定及其实施细则精神，不得增加基层负担，确保活动安全有序。</w:t>
      </w:r>
    </w:p>
    <w:p w14:paraId="79BCA65C">
      <w:pPr>
        <w:jc w:val="right"/>
        <w:rPr>
          <w:rFonts w:hint="eastAsia" w:ascii="Times New Roman" w:hAnsi="Times New Roman" w:eastAsia="方正楷体_GB2312" w:cs="Times New Roman"/>
          <w:bCs/>
          <w:color w:val="auto"/>
          <w:sz w:val="32"/>
          <w:szCs w:val="32"/>
          <w:lang w:val="en-US" w:eastAsia="zh-CN"/>
        </w:rPr>
      </w:pPr>
      <w:r>
        <w:rPr>
          <w:rFonts w:hint="eastAsia" w:ascii="Times New Roman" w:hAnsi="Times New Roman" w:eastAsia="方正楷体_GB2312" w:cs="Times New Roman"/>
          <w:bCs/>
          <w:color w:val="auto"/>
          <w:sz w:val="32"/>
          <w:szCs w:val="32"/>
          <w:lang w:val="en-US" w:eastAsia="zh-CN"/>
        </w:rPr>
        <w:t>来源：新华社</w:t>
      </w:r>
    </w:p>
    <w:p w14:paraId="1A22E893">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0DCE51AA">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4B256639">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26C6A17C">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01DA3886">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31D6D181">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42F6B4C2">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19D32B05">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33C47F78">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2C3EDC80">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48717B56">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50B0F391">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5B551DD1">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17A212D5">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36799E97">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78EE5215">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Times New Roman" w:hAnsi="Times New Roman" w:eastAsia="方正小标宋简体" w:cs="Times New Roman"/>
          <w:color w:val="auto"/>
          <w:sz w:val="44"/>
          <w:szCs w:val="44"/>
          <w:lang w:val="en-US" w:eastAsia="zh-CN"/>
        </w:rPr>
      </w:pPr>
      <w:bookmarkStart w:id="13" w:name="_Toc28820"/>
      <w:r>
        <w:rPr>
          <w:rFonts w:hint="eastAsia" w:ascii="Times New Roman" w:hAnsi="Times New Roman" w:eastAsia="方正小标宋简体" w:cs="Times New Roman"/>
          <w:color w:val="auto"/>
          <w:sz w:val="44"/>
          <w:szCs w:val="44"/>
          <w:lang w:val="en-US" w:eastAsia="zh-CN"/>
        </w:rPr>
        <w:t>习近平总书记这样谈网络文明</w:t>
      </w:r>
      <w:bookmarkEnd w:id="13"/>
    </w:p>
    <w:p w14:paraId="66983E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网络文明是新形势下社会文明的重要内容，是建设网络强国的重要领域。党的十八大以来，习近平总书记高度重视网络文明建设，发表了一系列重要论述。让我们一起学习，文明网络空间，昂扬奋进力量。</w:t>
      </w:r>
    </w:p>
    <w:p w14:paraId="323693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网络文明是新形势下社会文明的重要内容，是建设网络强国的重要领域。近年来，我国积极推进互联网内容建设，弘扬新风正气，深化网络生态治理，网络文明建设取得明显成效。要坚持发展和治理相统一、网上和网下相融合，广泛汇聚向上向善力量。</w:t>
      </w:r>
    </w:p>
    <w:p w14:paraId="119908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——2021年11月19日，习近平致信祝贺首届中国网络文明大会召开强调</w:t>
      </w:r>
    </w:p>
    <w:p w14:paraId="1048D8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源清则流清，要坚持以正面声音、主流价值、时代新风塑造网络空间，使互联网成为思想引领、道德培育、文化传承的重要阵地。要深化党的创新理论网上宣传，大力弘扬社会主义核心价值观，推出更多有内涵、有温度、有影响的网络作品。主流媒体要发挥网络优质内容供给的示范引领作用。</w:t>
      </w:r>
    </w:p>
    <w:p w14:paraId="00ADC6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——2025年11月28日，习近平在二十届中央政治局第二十三次集体学习时强调</w:t>
      </w:r>
    </w:p>
    <w:p w14:paraId="06F6F9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要发挥网络特色、网络优势，深入开展理想信念教育，深化新时代中国特色社会主义和中国梦宣传教育，积极培育和践行社会主义核心价值观，用社会主流思想价值和道德文化滋养人心、滋润社会。</w:t>
      </w:r>
    </w:p>
    <w:p w14:paraId="25139E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——2018年4月20日至21日，习近平在全国网络安全和信息化工作会议上的讲话</w:t>
      </w:r>
    </w:p>
    <w:p w14:paraId="48A707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要建设好青少年聚集的网络平台，创作更多青少年喜爱的网络文化产品，把要讲的道理、情理、事实用青少年易于接受的语言和方式呈现出来。要把网上舆论引导和网下思想</w:t>
      </w:r>
    </w:p>
    <w:p w14:paraId="5577235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工作结合起来，既会“键对键又能“面对面”，团结带动更多青少年与党同心、与党同行。</w:t>
      </w:r>
    </w:p>
    <w:p w14:paraId="0B1800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——2018年4月20日至21日，习近平在全国网络安全和信息化工作会议上的讲话</w:t>
      </w:r>
    </w:p>
    <w:p w14:paraId="633531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加强网络文明建设，促进优质网络文化产品生产传播，充分展示人类优秀文明成果，积极推动文明传承发展，共同建设网上精神家园。</w:t>
      </w:r>
    </w:p>
    <w:p w14:paraId="52B6E2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——2023年11月8日，习近平向2023年世界互联网大会乌镇峰会开幕式发表视频致辞</w:t>
      </w:r>
    </w:p>
    <w:p w14:paraId="496AF9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要坚持依法治网、依法办网、依法上网，让互联网在法治轨道上健康运行。同时，要加强网络伦理、网络文明建设，发挥道德教化引导作用，用人类文明优秀成果滋养网络空间、修复网络生态。</w:t>
      </w:r>
    </w:p>
    <w:p w14:paraId="6E65A6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——2015年12月16日，习近平在第二届世界互联网大会开幕式上的讲话</w:t>
      </w:r>
    </w:p>
    <w:p w14:paraId="4B7B4F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各级党委和政府要担当责任，网络平台、社会组织、广大网民等要发挥积极作用，共同推进文明办网、文明用网、文明上网，以时代新风塑造和净化网络空间，共建网上美好精神家园。</w:t>
      </w:r>
    </w:p>
    <w:p w14:paraId="52CD4B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——2021年11月19日，习近平致信祝贺首届中国网络文明大会召开强调</w:t>
      </w:r>
    </w:p>
    <w:p w14:paraId="1EA828FF">
      <w:pPr>
        <w:widowControl w:val="0"/>
        <w:numPr>
          <w:ilvl w:val="0"/>
          <w:numId w:val="0"/>
        </w:numPr>
        <w:jc w:val="left"/>
        <w:rPr>
          <w:rFonts w:hint="eastAsia" w:ascii="微软雅黑" w:hAnsi="微软雅黑" w:eastAsia="微软雅黑" w:cs="微软雅黑"/>
          <w:i w:val="0"/>
          <w:iCs w:val="0"/>
          <w:caps w:val="0"/>
          <w:color w:val="595959"/>
          <w:spacing w:val="0"/>
          <w:sz w:val="21"/>
          <w:szCs w:val="21"/>
          <w:shd w:val="clear" w:fill="FFFFFF"/>
        </w:rPr>
      </w:pPr>
    </w:p>
    <w:p w14:paraId="2BCEDC81">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1A1BE10A">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31FC2B7C">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083B468B">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53D45BA6">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52D9FA45">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3462C7D4">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35E9EB93">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666C5A7A">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402633BA">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00A2C7EB">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028DCA69">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30FD9FBB">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3B8DAA1F">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6DF914FC">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53849393">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0528CC58">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6D2D4273">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06540BA3">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246E055B">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3E870417">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方正小标宋简体" w:cs="Times New Roman"/>
          <w:color w:val="auto"/>
          <w:sz w:val="44"/>
          <w:szCs w:val="44"/>
          <w:lang w:val="en-US" w:eastAsia="zh-CN"/>
        </w:rPr>
      </w:pPr>
      <w:bookmarkStart w:id="14" w:name="_Toc3984"/>
      <w:r>
        <w:rPr>
          <w:rFonts w:hint="eastAsia" w:ascii="Times New Roman" w:hAnsi="Times New Roman" w:eastAsia="方正小标宋简体" w:cs="Times New Roman"/>
          <w:color w:val="auto"/>
          <w:sz w:val="44"/>
          <w:szCs w:val="44"/>
          <w:lang w:val="en-US" w:eastAsia="zh-CN"/>
        </w:rPr>
        <w:t>中国共产党党员网络行为规定</w:t>
      </w:r>
      <w:bookmarkEnd w:id="14"/>
    </w:p>
    <w:p w14:paraId="1D348AF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32" w:beforeAutospacing="0" w:after="378" w:afterAutospacing="0" w:line="540" w:lineRule="atLeast"/>
        <w:ind w:left="0" w:right="0" w:firstLine="0"/>
        <w:jc w:val="center"/>
        <w:rPr>
          <w:rFonts w:hint="eastAsia" w:ascii="楷体_GB2312" w:hAnsi="楷体_GB2312" w:eastAsia="楷体_GB2312" w:cs="楷体_GB2312"/>
          <w:i w:val="0"/>
          <w:iCs w:val="0"/>
          <w:caps w:val="0"/>
          <w:color w:val="000000"/>
          <w:spacing w:val="0"/>
          <w:sz w:val="32"/>
          <w:szCs w:val="32"/>
        </w:rPr>
      </w:pPr>
      <w:r>
        <w:rPr>
          <w:rFonts w:hint="eastAsia" w:ascii="楷体_GB2312" w:hAnsi="楷体_GB2312" w:eastAsia="楷体_GB2312" w:cs="楷体_GB2312"/>
          <w:i w:val="0"/>
          <w:iCs w:val="0"/>
          <w:caps w:val="0"/>
          <w:color w:val="191919"/>
          <w:spacing w:val="0"/>
          <w:sz w:val="32"/>
          <w:szCs w:val="32"/>
          <w:shd w:val="clear" w:fill="FFFFFF"/>
        </w:rPr>
        <w:t>(2024年1月14日中共中央办公厅发布）</w:t>
      </w:r>
    </w:p>
    <w:p w14:paraId="1B2A36B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黑体" w:hAnsi="黑体" w:eastAsia="黑体" w:cs="黑体"/>
          <w:bCs/>
          <w:color w:val="auto"/>
          <w:sz w:val="32"/>
          <w:szCs w:val="32"/>
          <w:lang w:val="en-US" w:eastAsia="zh-CN"/>
        </w:rPr>
      </w:pPr>
      <w:r>
        <w:rPr>
          <w:rFonts w:hint="eastAsia" w:ascii="黑体" w:hAnsi="黑体" w:eastAsia="黑体" w:cs="黑体"/>
          <w:bCs/>
          <w:color w:val="auto"/>
          <w:sz w:val="32"/>
          <w:szCs w:val="32"/>
          <w:lang w:val="en-US" w:eastAsia="zh-CN"/>
        </w:rPr>
        <w:t>第一章 总 则</w:t>
      </w:r>
    </w:p>
    <w:p w14:paraId="55EA3B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第一条 为了规范党员网络行为，发挥党员在网络空间作用，根据《中国共产党党员教育管理工作条例》等有关党内法规，制定本规定。</w:t>
      </w:r>
    </w:p>
    <w:p w14:paraId="4DE3DE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第二条 本规定所称网络行为，是指通过互联网制作、复制、存储、发布、传播文字、图片、音频、视频等信息内容及其相关活动。</w:t>
      </w:r>
    </w:p>
    <w:p w14:paraId="34ACFD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三条 党员实施网络行为，应当深刻领悟“两个确立”的决定性意义，增强“四个意识”、坚定“四个自信”、做到“两个维护”,坚持正确政治方向、舆论导向、价值取向，严守政治纪律和政治规矩，发挥先锋模范作用，走好网上群众路线，营造健康向上、风清气正的网络环境，推动形 成良好网络生态，维护政治安全和意识形态安全，自觉在思想上政治上行动上同以习近平同志为核心的党中央保持一致。</w:t>
      </w:r>
    </w:p>
    <w:p w14:paraId="3DFCFB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第四条</w:t>
      </w:r>
      <w:r>
        <w:rPr>
          <w:rFonts w:hint="default" w:ascii="Times New Roman" w:hAnsi="Times New Roman" w:eastAsia="仿宋_GB2312" w:cs="Times New Roman"/>
          <w:bCs/>
          <w:color w:val="auto"/>
          <w:sz w:val="32"/>
          <w:szCs w:val="32"/>
          <w:lang w:val="en-US" w:eastAsia="zh-CN"/>
        </w:rPr>
        <w:t> </w:t>
      </w:r>
      <w:r>
        <w:rPr>
          <w:rFonts w:hint="eastAsia" w:ascii="Times New Roman" w:hAnsi="Times New Roman" w:eastAsia="仿宋_GB2312" w:cs="Times New Roman"/>
          <w:bCs/>
          <w:color w:val="auto"/>
          <w:sz w:val="32"/>
          <w:szCs w:val="32"/>
          <w:lang w:val="en-US" w:eastAsia="zh-CN"/>
        </w:rPr>
        <w:t>各级党组织承担党员网络行为管理工作主体责任，全面落实网络意识形态工作责任制和网络安全工作责任制。各级组织、宣传和网信等部门在各自职责范围内，负责党员网络行为管理工作。</w:t>
      </w:r>
    </w:p>
    <w:p w14:paraId="03EF5CF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default" w:ascii="黑体" w:hAnsi="黑体" w:eastAsia="黑体" w:cs="黑体"/>
          <w:bCs/>
          <w:color w:val="auto"/>
          <w:sz w:val="32"/>
          <w:szCs w:val="32"/>
          <w:lang w:val="en-US" w:eastAsia="zh-CN"/>
        </w:rPr>
      </w:pPr>
      <w:r>
        <w:rPr>
          <w:rFonts w:hint="eastAsia" w:ascii="黑体" w:hAnsi="黑体" w:eastAsia="黑体" w:cs="黑体"/>
          <w:bCs/>
          <w:color w:val="auto"/>
          <w:sz w:val="32"/>
          <w:szCs w:val="32"/>
          <w:lang w:val="en-US" w:eastAsia="zh-CN"/>
        </w:rPr>
        <w:t>第二章 网络正能量传播</w:t>
      </w:r>
    </w:p>
    <w:p w14:paraId="393D7A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五条 党员应当积极通过网络，广泛宣传习近平新时代中国特色社会主义思想，宣传党的路线方针政策和党中央重大决策部署，宣传中国特色社会主义制度，宣传党带领人民团结奋斗的重大成就、历史经验和生动实践，宣传中华优秀传统文化、革命文化、社会主义先进文化，弘扬社会主义核心价值观和社会主义荣辱观，大力弘扬主旋律、传播正能量。</w:t>
      </w:r>
    </w:p>
    <w:p w14:paraId="38E746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第六条 党员应当践行网上群众路线，密切联系群众，及时反映群众的意见和要求，回应社会关切，解疑释惑、析事明理，引导群众形成共识。</w:t>
      </w:r>
    </w:p>
    <w:p w14:paraId="224CA3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第七条 党员应当敢于斗争、善于斗争，对网上各类错误思潮和错误观点敢于亮剑发声，旗帜鲜明批驳谬误。</w:t>
      </w:r>
    </w:p>
    <w:p w14:paraId="6A06B4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第八条 鼓励党员通过网络讲好中国特色社会主义的故事、中国共产党的故事、中国人民奋斗圆梦的故事、中华优秀传统文化的故事、中国和平发展的故事，向世界展现真实、立体、全面的中国。</w:t>
      </w:r>
    </w:p>
    <w:p w14:paraId="7ED206F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default" w:ascii="黑体" w:hAnsi="黑体" w:eastAsia="黑体" w:cs="黑体"/>
          <w:bCs/>
          <w:color w:val="auto"/>
          <w:sz w:val="32"/>
          <w:szCs w:val="32"/>
          <w:lang w:val="en-US" w:eastAsia="zh-CN"/>
        </w:rPr>
      </w:pPr>
      <w:r>
        <w:rPr>
          <w:rFonts w:hint="eastAsia" w:ascii="黑体" w:hAnsi="黑体" w:eastAsia="黑体" w:cs="黑体"/>
          <w:bCs/>
          <w:color w:val="auto"/>
          <w:sz w:val="32"/>
          <w:szCs w:val="32"/>
          <w:lang w:val="en-US" w:eastAsia="zh-CN"/>
        </w:rPr>
        <w:t>第三章 网络行为管理</w:t>
      </w:r>
    </w:p>
    <w:p w14:paraId="19E51B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第九条 党员网络行为应当严格遵守党规党纪，模范遵守法律法规，自觉坚守原则和底线。</w:t>
      </w:r>
    </w:p>
    <w:p w14:paraId="7278F9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十条 党员不得通过网络制作、复制、存储、发布、传播含有反对党的基本理论、基本路线、基本方略，违背四项基本原则，违背、歪曲党的改革开放决策，妄议党中央大政方针，破坏党的集中统一，丑化党和国家形象，诋毁、污蔑党和国家领导人、英雄模范，或者歪曲党的历史、中华人民共和国历史、人民军队历史等有严重政治问题的信息，不得组织、参加含有相关内容的网络论坛、群组、直播等活动。</w:t>
      </w:r>
    </w:p>
    <w:p w14:paraId="3235F5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第十一条 党员不得组织、参与和动员不法串联、联署、集会等网上非法组织、非法活动。</w:t>
      </w:r>
    </w:p>
    <w:p w14:paraId="3EB097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第十二条 党员不得通过网络制造、散布、传播政治谣言，不得匿名诬告、有意陷害或者制造其他谣言。</w:t>
      </w:r>
    </w:p>
    <w:p w14:paraId="3BC853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第十三条 党员不得参与网络宗教活动、迷信活动，不得参与或者纵容、支持利用网络宣扬恐怖主义、分裂主义、极端主义，邪教，或者煽动民族仇恨、民族歧视，破坏民族团结。</w:t>
      </w:r>
    </w:p>
    <w:p w14:paraId="73A219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第十四条 党员不得擅自建立、使用非法定信道浏览、访问、使用境外的网站、应用程序等。</w:t>
      </w:r>
    </w:p>
    <w:p w14:paraId="2C00A4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第十五条 党员应当严格遵守党的保密纪律，不得通过网络泄露、扩散党和国家秘密、工作秘密。</w:t>
      </w:r>
    </w:p>
    <w:p w14:paraId="4CB846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第十六条 党员不得通过发布、删除网络信息，以及其他干预信息呈现等手段谋取不正当利益。</w:t>
      </w:r>
    </w:p>
    <w:p w14:paraId="579967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第十七条 党员应当培育良好网络习惯，自觉抵制崇洋媚外、炫富斗阔、铺张浪费等不良网络文化，炒作绯闻丑闻、拉踩引战、刷量控评、直播打赏、沉迷网络游戏等不良网络现象。</w:t>
      </w:r>
    </w:p>
    <w:p w14:paraId="7883B4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第十八条 党员干部不得利用职务便利，索取或者非法收受他人有财产价值的网络账号、网络游戏装备、虚拟货币等网络虚拟财物。</w:t>
      </w:r>
    </w:p>
    <w:p w14:paraId="4B0091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第十九条 党员干部不得违反有关规定以职务身份开展网络借贷、直播带货等营利活动。</w:t>
      </w:r>
    </w:p>
    <w:p w14:paraId="578667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第二十条 党员干部注册、使用和管理网络公众账号，应当遵守有关规定，履行社会责任，不得损害国家安全、社会公共利益和他人合法权益。</w:t>
      </w:r>
    </w:p>
    <w:p w14:paraId="63B07D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第二十一条 党员发现网上违规违纪违法信息、活动的，应当及时向有关部门和网络平台举报，积极提供线索，协助有关方面处置。</w:t>
      </w:r>
    </w:p>
    <w:p w14:paraId="1EE3D43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default" w:ascii="黑体" w:hAnsi="黑体" w:eastAsia="黑体" w:cs="黑体"/>
          <w:bCs/>
          <w:color w:val="auto"/>
          <w:sz w:val="32"/>
          <w:szCs w:val="32"/>
          <w:lang w:val="en-US" w:eastAsia="zh-CN"/>
        </w:rPr>
      </w:pPr>
      <w:r>
        <w:rPr>
          <w:rFonts w:hint="eastAsia" w:ascii="黑体" w:hAnsi="黑体" w:eastAsia="黑体" w:cs="黑体"/>
          <w:bCs/>
          <w:color w:val="auto"/>
          <w:sz w:val="32"/>
          <w:szCs w:val="32"/>
          <w:lang w:val="en-US" w:eastAsia="zh-CN"/>
        </w:rPr>
        <w:t>第四章 保障和监督</w:t>
      </w:r>
    </w:p>
    <w:p w14:paraId="4B3A59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第二十二条 各级党组织应当开展党员依规依法上网用网的常态化教育，提升党员网络素养与技能，鼓励和支持党员学网上网用网。</w:t>
      </w:r>
    </w:p>
    <w:p w14:paraId="748F16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第二十三条 各级党组织应当激励党员在网上充分发挥先锋模范作用，对在网络正能量传播和舆论引导中作出突出贡献的党员，按照有关规定给予表彰奖励，作为评先评优、职务职级晋升、职称评聘等参考。</w:t>
      </w:r>
    </w:p>
    <w:p w14:paraId="6C52E0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二十四条 建立健全澄清正名和保护制度，关心爱护为党和人民利益敢于在网上亮剑发声的党员。对在网络正能量传播和舆论引导中敢于斗争、担当尽责而遭受诬告陷害、网络暴力、威胁恐吓的党员，各级党组织应当协调有关部门依法维护其合法权益，依法惩治有关违法犯罪行为。</w:t>
      </w:r>
    </w:p>
    <w:p w14:paraId="2276CD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第二十五条 各级党组织应当加强对党员网络行为的指导，区分党员不同主体，结合网络公众账号和网络行为类型，形成科学合理的制度规范，健全监督管理制度。</w:t>
      </w:r>
    </w:p>
    <w:p w14:paraId="7C18AB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第二十六条 各级党组织应当把规范党员网络行为、发挥党员在网络空间作用作为党的建设的重要内容，纳入党建工作责任制，紧密结合中心工作推进落实。</w:t>
      </w:r>
    </w:p>
    <w:p w14:paraId="4052FA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第二十七条 各级党组织应当将党员网络行为纳入民主生活会、组织生活会对照检查和民主评议党员的重要内容，及时总结经验，通报表扬先进，检视差距和不足，引导和规范党员正确实施网络行为。</w:t>
      </w:r>
    </w:p>
    <w:p w14:paraId="13EB3C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第二十八条 党员违反本规定的，根据行为性质和情节轻重，依规依纪追究责任；涉嫌违法犯罪的，按照有关法律规定处理。</w:t>
      </w:r>
    </w:p>
    <w:p w14:paraId="6408E8A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default" w:ascii="黑体" w:hAnsi="黑体" w:eastAsia="黑体" w:cs="黑体"/>
          <w:bCs/>
          <w:color w:val="auto"/>
          <w:sz w:val="32"/>
          <w:szCs w:val="32"/>
          <w:lang w:val="en-US" w:eastAsia="zh-CN"/>
        </w:rPr>
      </w:pPr>
      <w:r>
        <w:rPr>
          <w:rFonts w:hint="eastAsia" w:ascii="黑体" w:hAnsi="黑体" w:eastAsia="黑体" w:cs="黑体"/>
          <w:bCs/>
          <w:color w:val="auto"/>
          <w:sz w:val="32"/>
          <w:szCs w:val="32"/>
          <w:lang w:val="en-US" w:eastAsia="zh-CN"/>
        </w:rPr>
        <w:t>第五章 附 则</w:t>
      </w:r>
    </w:p>
    <w:p w14:paraId="4B091A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第二十九条 军队党员实施网络行为，按照军队有关规定执行。</w:t>
      </w:r>
    </w:p>
    <w:p w14:paraId="12C409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第三十条 本规定由中共中央组织部、中共中央宣传部、中央网络安全和信息化委员会办公室负责解释。</w:t>
      </w:r>
    </w:p>
    <w:p w14:paraId="48661B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第三十一条 本规定自发布之日起施行。</w:t>
      </w:r>
    </w:p>
    <w:p w14:paraId="18C7139F">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47016186">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0C4111AD">
      <w:pPr>
        <w:widowControl w:val="0"/>
        <w:numPr>
          <w:ilvl w:val="0"/>
          <w:numId w:val="0"/>
        </w:numPr>
        <w:jc w:val="both"/>
        <w:rPr>
          <w:rFonts w:hint="eastAsia" w:ascii="微软雅黑" w:hAnsi="微软雅黑" w:eastAsia="微软雅黑" w:cs="微软雅黑"/>
          <w:i w:val="0"/>
          <w:iCs w:val="0"/>
          <w:caps w:val="0"/>
          <w:color w:val="595959"/>
          <w:spacing w:val="0"/>
          <w:sz w:val="21"/>
          <w:szCs w:val="21"/>
          <w:shd w:val="clear" w:fill="FFFFFF"/>
        </w:rPr>
      </w:pPr>
    </w:p>
    <w:p w14:paraId="2721AB5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60" w:beforeAutospacing="0" w:after="360" w:afterAutospacing="0" w:line="480" w:lineRule="atLeast"/>
        <w:ind w:left="0" w:right="0" w:firstLine="420"/>
        <w:jc w:val="both"/>
        <w:rPr>
          <w:rFonts w:hint="eastAsia" w:ascii="微软雅黑" w:hAnsi="微软雅黑" w:eastAsia="微软雅黑" w:cs="微软雅黑"/>
          <w:i w:val="0"/>
          <w:iCs w:val="0"/>
          <w:caps w:val="0"/>
          <w:color w:val="262626"/>
          <w:spacing w:val="0"/>
          <w:sz w:val="27"/>
          <w:szCs w:val="27"/>
          <w:shd w:val="clear" w:fill="FFFFFF"/>
        </w:rPr>
      </w:pPr>
    </w:p>
    <w:p w14:paraId="086E9FD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60" w:beforeAutospacing="0" w:after="360" w:afterAutospacing="0" w:line="480" w:lineRule="atLeast"/>
        <w:ind w:left="0" w:right="0" w:firstLine="420"/>
        <w:jc w:val="both"/>
        <w:rPr>
          <w:rFonts w:hint="eastAsia" w:ascii="微软雅黑" w:hAnsi="微软雅黑" w:eastAsia="微软雅黑" w:cs="微软雅黑"/>
          <w:i w:val="0"/>
          <w:iCs w:val="0"/>
          <w:caps w:val="0"/>
          <w:color w:val="262626"/>
          <w:spacing w:val="0"/>
          <w:sz w:val="27"/>
          <w:szCs w:val="27"/>
          <w:shd w:val="clear" w:fill="FFFFFF"/>
        </w:rPr>
      </w:pPr>
    </w:p>
    <w:p w14:paraId="38B0530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60" w:beforeAutospacing="0" w:after="360" w:afterAutospacing="0" w:line="480" w:lineRule="atLeast"/>
        <w:ind w:left="0" w:right="0" w:firstLine="420"/>
        <w:jc w:val="both"/>
        <w:rPr>
          <w:rFonts w:hint="eastAsia" w:ascii="微软雅黑" w:hAnsi="微软雅黑" w:eastAsia="微软雅黑" w:cs="微软雅黑"/>
          <w:i w:val="0"/>
          <w:iCs w:val="0"/>
          <w:caps w:val="0"/>
          <w:color w:val="262626"/>
          <w:spacing w:val="0"/>
          <w:sz w:val="27"/>
          <w:szCs w:val="27"/>
          <w:shd w:val="clear" w:fill="FFFFFF"/>
        </w:rPr>
      </w:pPr>
    </w:p>
    <w:p w14:paraId="723E6AA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240" w:afterAutospacing="0" w:line="26" w:lineRule="atLeast"/>
        <w:ind w:left="0" w:right="0" w:firstLine="0"/>
        <w:jc w:val="both"/>
        <w:textAlignment w:val="baseline"/>
        <w:rPr>
          <w:rStyle w:val="9"/>
          <w:rFonts w:hint="default" w:ascii="PingFang SC" w:hAnsi="PingFang SC" w:eastAsia="PingFang SC" w:cs="PingFang SC"/>
          <w:b/>
          <w:bCs/>
          <w:i w:val="0"/>
          <w:iCs w:val="0"/>
          <w:caps w:val="0"/>
          <w:color w:val="171725"/>
          <w:spacing w:val="0"/>
          <w:sz w:val="27"/>
          <w:szCs w:val="27"/>
          <w:shd w:val="clear" w:fill="FFFFFF"/>
          <w:vertAlign w:val="baseline"/>
        </w:rPr>
      </w:pPr>
    </w:p>
    <w:p w14:paraId="1D019A1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color w:val="auto"/>
          <w:sz w:val="44"/>
          <w:szCs w:val="44"/>
          <w:lang w:val="en-US" w:eastAsia="zh-CN"/>
        </w:rPr>
      </w:pPr>
    </w:p>
    <w:sectPr>
      <w:footerReference r:id="rId7"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7211001-869A-4E9E-B25B-BF6A7E60F2C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大标宋简体">
    <w:altName w:val="微软雅黑"/>
    <w:panose1 w:val="02000000000000000000"/>
    <w:charset w:val="86"/>
    <w:family w:val="script"/>
    <w:pitch w:val="default"/>
    <w:sig w:usb0="00000000" w:usb1="00000000" w:usb2="00000012" w:usb3="00000000" w:csb0="00040001" w:csb1="00000000"/>
    <w:embedRegular r:id="rId2" w:fontKey="{38E70DBA-702E-4286-9B19-FF4328AF22BB}"/>
  </w:font>
  <w:font w:name="微软雅黑">
    <w:panose1 w:val="020B0503020204020204"/>
    <w:charset w:val="86"/>
    <w:family w:val="auto"/>
    <w:pitch w:val="default"/>
    <w:sig w:usb0="80000287" w:usb1="2ACF3C50" w:usb2="00000016" w:usb3="00000000" w:csb0="0004001F" w:csb1="00000000"/>
    <w:embedRegular r:id="rId3" w:fontKey="{733C2DBE-AFF5-48A4-86A5-FFE9E202CBEF}"/>
  </w:font>
  <w:font w:name="方正黑体简体">
    <w:panose1 w:val="03000509000000000000"/>
    <w:charset w:val="86"/>
    <w:family w:val="script"/>
    <w:pitch w:val="default"/>
    <w:sig w:usb0="00000001" w:usb1="080E0000" w:usb2="00000000" w:usb3="00000000" w:csb0="00040000" w:csb1="00000000"/>
    <w:embedRegular r:id="rId4" w:fontKey="{2D4340EE-7A05-41E4-A3F8-0AFEAFF2DA4A}"/>
  </w:font>
  <w:font w:name="楷体">
    <w:panose1 w:val="02010609060101010101"/>
    <w:charset w:val="86"/>
    <w:family w:val="modern"/>
    <w:pitch w:val="default"/>
    <w:sig w:usb0="800002BF" w:usb1="38CF7CFA" w:usb2="00000016" w:usb3="00000000" w:csb0="00040001" w:csb1="00000000"/>
    <w:embedRegular r:id="rId5" w:fontKey="{60A2D712-95AA-4739-A693-2BED3A64370B}"/>
  </w:font>
  <w:font w:name="Cambria">
    <w:panose1 w:val="02040503050406030204"/>
    <w:charset w:val="00"/>
    <w:family w:val="roman"/>
    <w:pitch w:val="default"/>
    <w:sig w:usb0="E00006FF" w:usb1="420024FF" w:usb2="02000000" w:usb3="00000000" w:csb0="2000019F" w:csb1="00000000"/>
    <w:embedRegular r:id="rId6" w:fontKey="{98F0A05F-6FF2-47E0-8FD2-DB4E0F2A561E}"/>
  </w:font>
  <w:font w:name="仿宋_GB2312">
    <w:panose1 w:val="02010609030101010101"/>
    <w:charset w:val="86"/>
    <w:family w:val="auto"/>
    <w:pitch w:val="default"/>
    <w:sig w:usb0="00000001" w:usb1="080E0000" w:usb2="00000000" w:usb3="00000000" w:csb0="00040000" w:csb1="00000000"/>
    <w:embedRegular r:id="rId7" w:fontKey="{403DA362-5489-48D8-9237-05393BF93714}"/>
  </w:font>
  <w:font w:name="楷体_GB2312">
    <w:panose1 w:val="02010609030101010101"/>
    <w:charset w:val="86"/>
    <w:family w:val="auto"/>
    <w:pitch w:val="default"/>
    <w:sig w:usb0="00000001" w:usb1="080E0000" w:usb2="00000000" w:usb3="00000000" w:csb0="00040000" w:csb1="00000000"/>
    <w:embedRegular r:id="rId8" w:fontKey="{4DB2B543-45A1-4E26-965C-3C8F6984B91A}"/>
  </w:font>
  <w:font w:name="方正小标宋简体">
    <w:panose1 w:val="03000509000000000000"/>
    <w:charset w:val="86"/>
    <w:family w:val="auto"/>
    <w:pitch w:val="default"/>
    <w:sig w:usb0="00000001" w:usb1="080E0000" w:usb2="00000000" w:usb3="00000000" w:csb0="00040000" w:csb1="00000000"/>
    <w:embedRegular r:id="rId9" w:fontKey="{36EAD475-A662-4299-B233-CBFAF1141B11}"/>
  </w:font>
  <w:font w:name="方正楷体_GB2312">
    <w:panose1 w:val="02000000000000000000"/>
    <w:charset w:val="86"/>
    <w:family w:val="auto"/>
    <w:pitch w:val="default"/>
    <w:sig w:usb0="A00002BF" w:usb1="184F6CFA" w:usb2="00000012" w:usb3="00000000" w:csb0="00040001" w:csb1="00000000"/>
    <w:embedRegular r:id="rId10" w:fontKey="{B0CF4E8B-20F1-4150-97E7-53892DD3F0BC}"/>
  </w:font>
  <w:font w:name="GWZT-EN">
    <w:panose1 w:val="02000000000000000000"/>
    <w:charset w:val="86"/>
    <w:family w:val="auto"/>
    <w:pitch w:val="default"/>
    <w:sig w:usb0="0000000F" w:usb1="28810000" w:usb2="00000000" w:usb3="00000000" w:csb0="00140001" w:csb1="00000000"/>
    <w:embedRegular r:id="rId11" w:fontKey="{1D756F24-0DF4-4E23-91D7-7594D9E74D49}"/>
  </w:font>
  <w:font w:name="PingFang SC">
    <w:altName w:val="Segoe Print"/>
    <w:panose1 w:val="00000000000000000000"/>
    <w:charset w:val="00"/>
    <w:family w:val="auto"/>
    <w:pitch w:val="default"/>
    <w:sig w:usb0="00000000" w:usb1="00000000" w:usb2="00000000" w:usb3="00000000" w:csb0="00000000" w:csb1="00000000"/>
    <w:embedRegular r:id="rId12" w:fontKey="{5FF49DD1-174C-46C1-9EB2-7EBCD98353DD}"/>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33101">
    <w:pPr>
      <w:pStyle w:val="3"/>
      <w:spacing w:before="120" w:after="120"/>
      <w:ind w:firstLine="360"/>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B703A">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F0BA0">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0A2E5A">
                          <w:pPr>
                            <w:pStyle w:val="3"/>
                            <w:rPr>
                              <w:rFonts w:hint="eastAsia" w:ascii="GWZT-EN" w:hAnsi="GWZT-EN" w:eastAsia="GWZT-EN" w:cs="GWZT-EN"/>
                              <w:b w:val="0"/>
                              <w:bCs w:val="0"/>
                              <w:sz w:val="28"/>
                            </w:rPr>
                          </w:pPr>
                          <w:r>
                            <w:rPr>
                              <w:rFonts w:hint="eastAsia" w:ascii="GWZT-EN" w:hAnsi="GWZT-EN" w:eastAsia="GWZT-EN" w:cs="GWZT-EN"/>
                              <w:b w:val="0"/>
                              <w:bCs w:val="0"/>
                              <w:sz w:val="28"/>
                            </w:rPr>
                            <w:t>—</w:t>
                          </w:r>
                          <w:r>
                            <w:rPr>
                              <w:rFonts w:hint="eastAsia" w:ascii="GWZT-EN" w:hAnsi="GWZT-EN" w:eastAsia="GWZT-EN" w:cs="GWZT-EN"/>
                              <w:b w:val="0"/>
                              <w:bCs w:val="0"/>
                              <w:sz w:val="24"/>
                            </w:rPr>
                            <w:t>　</w:t>
                          </w:r>
                          <w:r>
                            <w:rPr>
                              <w:rFonts w:hint="eastAsia" w:ascii="GWZT-EN" w:hAnsi="GWZT-EN" w:eastAsia="GWZT-EN" w:cs="GWZT-EN"/>
                              <w:b w:val="0"/>
                              <w:bCs w:val="0"/>
                              <w:sz w:val="28"/>
                            </w:rPr>
                            <w:fldChar w:fldCharType="begin"/>
                          </w:r>
                          <w:r>
                            <w:rPr>
                              <w:rFonts w:hint="eastAsia" w:ascii="GWZT-EN" w:hAnsi="GWZT-EN" w:eastAsia="GWZT-EN" w:cs="GWZT-EN"/>
                              <w:b w:val="0"/>
                              <w:bCs w:val="0"/>
                              <w:sz w:val="28"/>
                            </w:rPr>
                            <w:instrText xml:space="preserve"> PAGE  \* MERGEFORMAT </w:instrText>
                          </w:r>
                          <w:r>
                            <w:rPr>
                              <w:rFonts w:hint="eastAsia" w:ascii="GWZT-EN" w:hAnsi="GWZT-EN" w:eastAsia="GWZT-EN" w:cs="GWZT-EN"/>
                              <w:b w:val="0"/>
                              <w:bCs w:val="0"/>
                              <w:sz w:val="28"/>
                            </w:rPr>
                            <w:fldChar w:fldCharType="separate"/>
                          </w:r>
                          <w:r>
                            <w:rPr>
                              <w:rFonts w:hint="eastAsia" w:ascii="GWZT-EN" w:hAnsi="GWZT-EN" w:eastAsia="GWZT-EN" w:cs="GWZT-EN"/>
                              <w:b w:val="0"/>
                              <w:bCs w:val="0"/>
                              <w:sz w:val="28"/>
                            </w:rPr>
                            <w:t>1</w:t>
                          </w:r>
                          <w:r>
                            <w:rPr>
                              <w:rFonts w:hint="eastAsia" w:ascii="GWZT-EN" w:hAnsi="GWZT-EN" w:eastAsia="GWZT-EN" w:cs="GWZT-EN"/>
                              <w:b w:val="0"/>
                              <w:bCs w:val="0"/>
                              <w:sz w:val="28"/>
                            </w:rPr>
                            <w:fldChar w:fldCharType="end"/>
                          </w:r>
                          <w:r>
                            <w:rPr>
                              <w:rFonts w:hint="eastAsia" w:ascii="GWZT-EN" w:hAnsi="GWZT-EN" w:eastAsia="GWZT-EN" w:cs="GWZT-EN"/>
                              <w:b w:val="0"/>
                              <w:bCs w:val="0"/>
                              <w:sz w:val="24"/>
                            </w:rPr>
                            <w:t>　</w:t>
                          </w:r>
                          <w:r>
                            <w:rPr>
                              <w:rFonts w:hint="eastAsia" w:ascii="GWZT-EN" w:hAnsi="GWZT-EN" w:eastAsia="GWZT-EN" w:cs="GWZT-EN"/>
                              <w:b w:val="0"/>
                              <w:bCs w:val="0"/>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1312;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BqVKztYAAAAGAQAADwAAAAAAAAABACAAAAAiAAAAZHJzL2Rvd25y&#10;ZXYueG1sUEsBAhQAFAAAAAgAh07iQCYyPdY5AgAAawQAAA4AAAAAAAAAAQAgAAAAJQEAAGRycy9l&#10;Mm9Eb2MueG1sUEsFBgAAAAAGAAYAWQEAANAFAAAAAA==&#10;">
              <v:fill on="f" focussize="0,0"/>
              <v:stroke on="f" weight="0.5pt"/>
              <v:imagedata o:title=""/>
              <o:lock v:ext="edit" aspectratio="f"/>
              <v:textbox inset="16pt,0mm,16pt,0mm" style="mso-fit-shape-to-text:t;">
                <w:txbxContent>
                  <w:p w14:paraId="120A2E5A">
                    <w:pPr>
                      <w:pStyle w:val="3"/>
                      <w:rPr>
                        <w:rFonts w:hint="eastAsia" w:ascii="GWZT-EN" w:hAnsi="GWZT-EN" w:eastAsia="GWZT-EN" w:cs="GWZT-EN"/>
                        <w:b w:val="0"/>
                        <w:bCs w:val="0"/>
                        <w:sz w:val="28"/>
                      </w:rPr>
                    </w:pPr>
                    <w:r>
                      <w:rPr>
                        <w:rFonts w:hint="eastAsia" w:ascii="GWZT-EN" w:hAnsi="GWZT-EN" w:eastAsia="GWZT-EN" w:cs="GWZT-EN"/>
                        <w:b w:val="0"/>
                        <w:bCs w:val="0"/>
                        <w:sz w:val="28"/>
                      </w:rPr>
                      <w:t>—</w:t>
                    </w:r>
                    <w:r>
                      <w:rPr>
                        <w:rFonts w:hint="eastAsia" w:ascii="GWZT-EN" w:hAnsi="GWZT-EN" w:eastAsia="GWZT-EN" w:cs="GWZT-EN"/>
                        <w:b w:val="0"/>
                        <w:bCs w:val="0"/>
                        <w:sz w:val="24"/>
                      </w:rPr>
                      <w:t>　</w:t>
                    </w:r>
                    <w:r>
                      <w:rPr>
                        <w:rFonts w:hint="eastAsia" w:ascii="GWZT-EN" w:hAnsi="GWZT-EN" w:eastAsia="GWZT-EN" w:cs="GWZT-EN"/>
                        <w:b w:val="0"/>
                        <w:bCs w:val="0"/>
                        <w:sz w:val="28"/>
                      </w:rPr>
                      <w:fldChar w:fldCharType="begin"/>
                    </w:r>
                    <w:r>
                      <w:rPr>
                        <w:rFonts w:hint="eastAsia" w:ascii="GWZT-EN" w:hAnsi="GWZT-EN" w:eastAsia="GWZT-EN" w:cs="GWZT-EN"/>
                        <w:b w:val="0"/>
                        <w:bCs w:val="0"/>
                        <w:sz w:val="28"/>
                      </w:rPr>
                      <w:instrText xml:space="preserve"> PAGE  \* MERGEFORMAT </w:instrText>
                    </w:r>
                    <w:r>
                      <w:rPr>
                        <w:rFonts w:hint="eastAsia" w:ascii="GWZT-EN" w:hAnsi="GWZT-EN" w:eastAsia="GWZT-EN" w:cs="GWZT-EN"/>
                        <w:b w:val="0"/>
                        <w:bCs w:val="0"/>
                        <w:sz w:val="28"/>
                      </w:rPr>
                      <w:fldChar w:fldCharType="separate"/>
                    </w:r>
                    <w:r>
                      <w:rPr>
                        <w:rFonts w:hint="eastAsia" w:ascii="GWZT-EN" w:hAnsi="GWZT-EN" w:eastAsia="GWZT-EN" w:cs="GWZT-EN"/>
                        <w:b w:val="0"/>
                        <w:bCs w:val="0"/>
                        <w:sz w:val="28"/>
                      </w:rPr>
                      <w:t>1</w:t>
                    </w:r>
                    <w:r>
                      <w:rPr>
                        <w:rFonts w:hint="eastAsia" w:ascii="GWZT-EN" w:hAnsi="GWZT-EN" w:eastAsia="GWZT-EN" w:cs="GWZT-EN"/>
                        <w:b w:val="0"/>
                        <w:bCs w:val="0"/>
                        <w:sz w:val="28"/>
                      </w:rPr>
                      <w:fldChar w:fldCharType="end"/>
                    </w:r>
                    <w:r>
                      <w:rPr>
                        <w:rFonts w:hint="eastAsia" w:ascii="GWZT-EN" w:hAnsi="GWZT-EN" w:eastAsia="GWZT-EN" w:cs="GWZT-EN"/>
                        <w:b w:val="0"/>
                        <w:bCs w:val="0"/>
                        <w:sz w:val="24"/>
                      </w:rPr>
                      <w:t>　</w:t>
                    </w:r>
                    <w:r>
                      <w:rPr>
                        <w:rFonts w:hint="eastAsia" w:ascii="GWZT-EN" w:hAnsi="GWZT-EN" w:eastAsia="GWZT-EN" w:cs="GWZT-EN"/>
                        <w:b w:val="0"/>
                        <w:bCs w:val="0"/>
                        <w:sz w:val="2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01FF2">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2F3396">
                          <w:pPr>
                            <w:pStyle w:val="3"/>
                            <w:rPr>
                              <w:rFonts w:hint="eastAsia" w:ascii="GWZT-EN" w:hAnsi="GWZT-EN" w:eastAsia="GWZT-EN" w:cs="GWZT-EN"/>
                              <w:b w:val="0"/>
                              <w:bCs w:val="0"/>
                              <w:sz w:val="28"/>
                            </w:rPr>
                          </w:pPr>
                          <w:r>
                            <w:rPr>
                              <w:rFonts w:hint="eastAsia" w:ascii="GWZT-EN" w:hAnsi="GWZT-EN" w:eastAsia="GWZT-EN" w:cs="GWZT-EN"/>
                              <w:b w:val="0"/>
                              <w:bCs w:val="0"/>
                              <w:sz w:val="28"/>
                            </w:rPr>
                            <w:t>—</w:t>
                          </w:r>
                          <w:r>
                            <w:rPr>
                              <w:rFonts w:hint="eastAsia" w:ascii="GWZT-EN" w:hAnsi="GWZT-EN" w:eastAsia="GWZT-EN" w:cs="GWZT-EN"/>
                              <w:b w:val="0"/>
                              <w:bCs w:val="0"/>
                              <w:sz w:val="24"/>
                            </w:rPr>
                            <w:t>　</w:t>
                          </w:r>
                          <w:r>
                            <w:rPr>
                              <w:rFonts w:hint="eastAsia" w:ascii="GWZT-EN" w:hAnsi="GWZT-EN" w:eastAsia="GWZT-EN" w:cs="GWZT-EN"/>
                              <w:b w:val="0"/>
                              <w:bCs w:val="0"/>
                              <w:sz w:val="28"/>
                            </w:rPr>
                            <w:fldChar w:fldCharType="begin"/>
                          </w:r>
                          <w:r>
                            <w:rPr>
                              <w:rFonts w:hint="eastAsia" w:ascii="GWZT-EN" w:hAnsi="GWZT-EN" w:eastAsia="GWZT-EN" w:cs="GWZT-EN"/>
                              <w:b w:val="0"/>
                              <w:bCs w:val="0"/>
                              <w:sz w:val="28"/>
                            </w:rPr>
                            <w:instrText xml:space="preserve"> PAGE  \* MERGEFORMAT </w:instrText>
                          </w:r>
                          <w:r>
                            <w:rPr>
                              <w:rFonts w:hint="eastAsia" w:ascii="GWZT-EN" w:hAnsi="GWZT-EN" w:eastAsia="GWZT-EN" w:cs="GWZT-EN"/>
                              <w:b w:val="0"/>
                              <w:bCs w:val="0"/>
                              <w:sz w:val="28"/>
                            </w:rPr>
                            <w:fldChar w:fldCharType="separate"/>
                          </w:r>
                          <w:r>
                            <w:rPr>
                              <w:rFonts w:hint="eastAsia" w:ascii="GWZT-EN" w:hAnsi="GWZT-EN" w:eastAsia="GWZT-EN" w:cs="GWZT-EN"/>
                              <w:b w:val="0"/>
                              <w:bCs w:val="0"/>
                              <w:sz w:val="28"/>
                            </w:rPr>
                            <w:t>1</w:t>
                          </w:r>
                          <w:r>
                            <w:rPr>
                              <w:rFonts w:hint="eastAsia" w:ascii="GWZT-EN" w:hAnsi="GWZT-EN" w:eastAsia="GWZT-EN" w:cs="GWZT-EN"/>
                              <w:b w:val="0"/>
                              <w:bCs w:val="0"/>
                              <w:sz w:val="28"/>
                            </w:rPr>
                            <w:fldChar w:fldCharType="end"/>
                          </w:r>
                          <w:r>
                            <w:rPr>
                              <w:rFonts w:hint="eastAsia" w:ascii="GWZT-EN" w:hAnsi="GWZT-EN" w:eastAsia="GWZT-EN" w:cs="GWZT-EN"/>
                              <w:b w:val="0"/>
                              <w:bCs w:val="0"/>
                              <w:sz w:val="24"/>
                            </w:rPr>
                            <w:t>　</w:t>
                          </w:r>
                          <w:r>
                            <w:rPr>
                              <w:rFonts w:hint="eastAsia" w:ascii="GWZT-EN" w:hAnsi="GWZT-EN" w:eastAsia="GWZT-EN" w:cs="GWZT-EN"/>
                              <w:b w:val="0"/>
                              <w:bCs w:val="0"/>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zJ8uDTgCAABrBAAADgAAAAAAAAABACAAAAAlAQAAZHJzL2Uy&#10;b0RvYy54bWxQSwUGAAAAAAYABgBZAQAAzwUAAAAA&#10;">
              <v:fill on="f" focussize="0,0"/>
              <v:stroke on="f" weight="0.5pt"/>
              <v:imagedata o:title=""/>
              <o:lock v:ext="edit" aspectratio="f"/>
              <v:textbox inset="16pt,0mm,16pt,0mm" style="mso-fit-shape-to-text:t;">
                <w:txbxContent>
                  <w:p w14:paraId="572F3396">
                    <w:pPr>
                      <w:pStyle w:val="3"/>
                      <w:rPr>
                        <w:rFonts w:hint="eastAsia" w:ascii="GWZT-EN" w:hAnsi="GWZT-EN" w:eastAsia="GWZT-EN" w:cs="GWZT-EN"/>
                        <w:b w:val="0"/>
                        <w:bCs w:val="0"/>
                        <w:sz w:val="28"/>
                      </w:rPr>
                    </w:pPr>
                    <w:r>
                      <w:rPr>
                        <w:rFonts w:hint="eastAsia" w:ascii="GWZT-EN" w:hAnsi="GWZT-EN" w:eastAsia="GWZT-EN" w:cs="GWZT-EN"/>
                        <w:b w:val="0"/>
                        <w:bCs w:val="0"/>
                        <w:sz w:val="28"/>
                      </w:rPr>
                      <w:t>—</w:t>
                    </w:r>
                    <w:r>
                      <w:rPr>
                        <w:rFonts w:hint="eastAsia" w:ascii="GWZT-EN" w:hAnsi="GWZT-EN" w:eastAsia="GWZT-EN" w:cs="GWZT-EN"/>
                        <w:b w:val="0"/>
                        <w:bCs w:val="0"/>
                        <w:sz w:val="24"/>
                      </w:rPr>
                      <w:t>　</w:t>
                    </w:r>
                    <w:r>
                      <w:rPr>
                        <w:rFonts w:hint="eastAsia" w:ascii="GWZT-EN" w:hAnsi="GWZT-EN" w:eastAsia="GWZT-EN" w:cs="GWZT-EN"/>
                        <w:b w:val="0"/>
                        <w:bCs w:val="0"/>
                        <w:sz w:val="28"/>
                      </w:rPr>
                      <w:fldChar w:fldCharType="begin"/>
                    </w:r>
                    <w:r>
                      <w:rPr>
                        <w:rFonts w:hint="eastAsia" w:ascii="GWZT-EN" w:hAnsi="GWZT-EN" w:eastAsia="GWZT-EN" w:cs="GWZT-EN"/>
                        <w:b w:val="0"/>
                        <w:bCs w:val="0"/>
                        <w:sz w:val="28"/>
                      </w:rPr>
                      <w:instrText xml:space="preserve"> PAGE  \* MERGEFORMAT </w:instrText>
                    </w:r>
                    <w:r>
                      <w:rPr>
                        <w:rFonts w:hint="eastAsia" w:ascii="GWZT-EN" w:hAnsi="GWZT-EN" w:eastAsia="GWZT-EN" w:cs="GWZT-EN"/>
                        <w:b w:val="0"/>
                        <w:bCs w:val="0"/>
                        <w:sz w:val="28"/>
                      </w:rPr>
                      <w:fldChar w:fldCharType="separate"/>
                    </w:r>
                    <w:r>
                      <w:rPr>
                        <w:rFonts w:hint="eastAsia" w:ascii="GWZT-EN" w:hAnsi="GWZT-EN" w:eastAsia="GWZT-EN" w:cs="GWZT-EN"/>
                        <w:b w:val="0"/>
                        <w:bCs w:val="0"/>
                        <w:sz w:val="28"/>
                      </w:rPr>
                      <w:t>1</w:t>
                    </w:r>
                    <w:r>
                      <w:rPr>
                        <w:rFonts w:hint="eastAsia" w:ascii="GWZT-EN" w:hAnsi="GWZT-EN" w:eastAsia="GWZT-EN" w:cs="GWZT-EN"/>
                        <w:b w:val="0"/>
                        <w:bCs w:val="0"/>
                        <w:sz w:val="28"/>
                      </w:rPr>
                      <w:fldChar w:fldCharType="end"/>
                    </w:r>
                    <w:r>
                      <w:rPr>
                        <w:rFonts w:hint="eastAsia" w:ascii="GWZT-EN" w:hAnsi="GWZT-EN" w:eastAsia="GWZT-EN" w:cs="GWZT-EN"/>
                        <w:b w:val="0"/>
                        <w:bCs w:val="0"/>
                        <w:sz w:val="24"/>
                      </w:rPr>
                      <w:t>　</w:t>
                    </w:r>
                    <w:r>
                      <w:rPr>
                        <w:rFonts w:hint="eastAsia" w:ascii="GWZT-EN" w:hAnsi="GWZT-EN" w:eastAsia="GWZT-EN" w:cs="GWZT-EN"/>
                        <w:b w:val="0"/>
                        <w:bCs w:val="0"/>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076FC">
    <w:pPr>
      <w:pStyle w:val="4"/>
      <w:pBdr>
        <w:bottom w:val="none" w:color="auto" w:sz="0" w:space="0"/>
      </w:pBdr>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D0192A"/>
    <w:rsid w:val="032E054F"/>
    <w:rsid w:val="059D0343"/>
    <w:rsid w:val="15C35C4A"/>
    <w:rsid w:val="1CD0192A"/>
    <w:rsid w:val="227A58E8"/>
    <w:rsid w:val="2CEC53DD"/>
    <w:rsid w:val="352B2DCA"/>
    <w:rsid w:val="420B2427"/>
    <w:rsid w:val="465F0D84"/>
    <w:rsid w:val="4A646F15"/>
    <w:rsid w:val="5E225D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39"/>
    <w:pPr>
      <w:spacing w:before="120" w:after="120"/>
      <w:jc w:val="left"/>
    </w:pPr>
    <w:rPr>
      <w:rFonts w:eastAsiaTheme="minorHAnsi"/>
      <w:b/>
      <w:bCs/>
      <w:caps/>
      <w:sz w:val="20"/>
      <w:szCs w:val="20"/>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emf"/><Relationship Id="rId10" Type="http://schemas.openxmlformats.org/officeDocument/2006/relationships/oleObject" Target="embeddings/oleObject1.bin"/><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15273</Words>
  <Characters>15449</Characters>
  <Lines>0</Lines>
  <Paragraphs>0</Paragraphs>
  <TotalTime>0</TotalTime>
  <ScaleCrop>false</ScaleCrop>
  <LinksUpToDate>false</LinksUpToDate>
  <CharactersWithSpaces>15535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2026-09-22T01:04:00Z</dcterms:created>
  <dc:creator>四川职业技术学院</dc:creator>
  <cp:lastModifiedBy>旺仔</cp:lastModifiedBy>
  <dcterms:modified xsi:type="dcterms:W3CDTF">2026-09-22T09:23:14Z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B83350FFF736402C9EA6CFB158043F52_13</vt:lpwstr>
  </property>
  <property fmtid="{D5CDD505-2E9C-101B-9397-08002B2CF9AE}" pid="4" name="KSOTemplateDocerSaveRecord">
    <vt:lpwstr>eyJoZGlkIjoiYzg0OGQ1ZjNiNzZjNzQ0MWE3NTEzMWUyMDQ4MTQ4NzUiLCJ1c2VySWQiOiIyODI4MTQ5MTQifQ==</vt:lpwstr>
  </property>
</Properties>
</file>